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6FD39" w14:textId="77777777" w:rsidR="008E5E3E" w:rsidRPr="00E76954" w:rsidRDefault="008E5E3E" w:rsidP="008E5E3E">
      <w:pPr>
        <w:widowControl w:val="0"/>
        <w:autoSpaceDE w:val="0"/>
        <w:autoSpaceDN w:val="0"/>
        <w:adjustRightInd w:val="0"/>
      </w:pPr>
    </w:p>
    <w:p w14:paraId="507D3605" w14:textId="77777777" w:rsidR="008E5E3E" w:rsidRPr="00E76954" w:rsidRDefault="008E5E3E" w:rsidP="008E5E3E">
      <w:pPr>
        <w:widowControl w:val="0"/>
        <w:autoSpaceDE w:val="0"/>
        <w:autoSpaceDN w:val="0"/>
        <w:adjustRightInd w:val="0"/>
      </w:pPr>
      <w:r w:rsidRPr="00E76954">
        <w:rPr>
          <w:b/>
          <w:bCs/>
        </w:rPr>
        <w:t>Section 611.901  General Public Notification Requirements</w:t>
      </w:r>
      <w:r w:rsidRPr="00E76954">
        <w:t xml:space="preserve"> </w:t>
      </w:r>
    </w:p>
    <w:p w14:paraId="6E8E2E23" w14:textId="77777777" w:rsidR="008E5E3E" w:rsidRPr="00E76954" w:rsidRDefault="008E5E3E" w:rsidP="008E5E3E">
      <w:pPr>
        <w:widowControl w:val="0"/>
        <w:autoSpaceDE w:val="0"/>
        <w:autoSpaceDN w:val="0"/>
        <w:adjustRightInd w:val="0"/>
      </w:pPr>
    </w:p>
    <w:p w14:paraId="5F8CEA20" w14:textId="77777777" w:rsidR="008E5E3E" w:rsidRPr="00E76954" w:rsidRDefault="008E5E3E" w:rsidP="008E5E3E">
      <w:pPr>
        <w:widowControl w:val="0"/>
        <w:autoSpaceDE w:val="0"/>
        <w:autoSpaceDN w:val="0"/>
        <w:adjustRightInd w:val="0"/>
      </w:pPr>
      <w:r w:rsidRPr="00E76954">
        <w:t xml:space="preserve">The requirements of this Subpart V replace former notice requirements. </w:t>
      </w:r>
    </w:p>
    <w:p w14:paraId="3BFEBFBE" w14:textId="77777777" w:rsidR="00941D05" w:rsidRPr="00E76954" w:rsidRDefault="00941D05" w:rsidP="001A103F">
      <w:pPr>
        <w:widowControl w:val="0"/>
        <w:autoSpaceDE w:val="0"/>
        <w:autoSpaceDN w:val="0"/>
        <w:adjustRightInd w:val="0"/>
      </w:pPr>
    </w:p>
    <w:p w14:paraId="370EA800" w14:textId="4D76A862" w:rsidR="008E5E3E" w:rsidRPr="00E76954" w:rsidRDefault="008E5E3E" w:rsidP="008E5E3E">
      <w:pPr>
        <w:widowControl w:val="0"/>
        <w:autoSpaceDE w:val="0"/>
        <w:autoSpaceDN w:val="0"/>
        <w:adjustRightInd w:val="0"/>
        <w:ind w:left="1440" w:hanging="720"/>
      </w:pPr>
      <w:r w:rsidRPr="00E76954">
        <w:t>a)</w:t>
      </w:r>
      <w:r w:rsidRPr="00E76954">
        <w:tab/>
        <w:t xml:space="preserve">Who </w:t>
      </w:r>
      <w:r w:rsidR="0027068C" w:rsidRPr="00E76954">
        <w:t>Must Give Public Notice</w:t>
      </w:r>
      <w:r w:rsidRPr="00E76954">
        <w:t xml:space="preserve">.  Each owner or operator of a </w:t>
      </w:r>
      <w:r w:rsidR="00310D83" w:rsidRPr="00E76954">
        <w:t>PWS</w:t>
      </w:r>
      <w:r w:rsidRPr="00E76954">
        <w:t xml:space="preserve"> (a CWS, an NTNCWS, or a transient non-CWS) must give notice for all violations of an NPDWR and for other situations, as listed in this subsection (a).  The term "NPDWR violation" is used in this Subpart V to include violations of an MCL, an MRDL, a treatment technique, monitoring requirements, or a testing procedure set forth in this Part.  Appendix G identifies the tier assignment for each specific violation or situation requiring a public notice. </w:t>
      </w:r>
    </w:p>
    <w:p w14:paraId="484FE8E2" w14:textId="77777777" w:rsidR="00941D05" w:rsidRPr="00E76954" w:rsidRDefault="00941D05" w:rsidP="001A103F">
      <w:pPr>
        <w:widowControl w:val="0"/>
        <w:autoSpaceDE w:val="0"/>
        <w:autoSpaceDN w:val="0"/>
        <w:adjustRightInd w:val="0"/>
      </w:pPr>
    </w:p>
    <w:p w14:paraId="3CA5FA9F" w14:textId="77777777" w:rsidR="008E5E3E" w:rsidRPr="00E76954" w:rsidRDefault="008E5E3E" w:rsidP="008E5E3E">
      <w:pPr>
        <w:widowControl w:val="0"/>
        <w:autoSpaceDE w:val="0"/>
        <w:autoSpaceDN w:val="0"/>
        <w:adjustRightInd w:val="0"/>
        <w:ind w:left="2160" w:hanging="720"/>
      </w:pPr>
      <w:r w:rsidRPr="00E76954">
        <w:t>1)</w:t>
      </w:r>
      <w:r w:rsidRPr="00E76954">
        <w:tab/>
        <w:t xml:space="preserve">NPDWR </w:t>
      </w:r>
      <w:r w:rsidR="000746D3" w:rsidRPr="00E76954">
        <w:t>Violations</w:t>
      </w:r>
      <w:r w:rsidRPr="00E76954">
        <w:t xml:space="preserve"> </w:t>
      </w:r>
    </w:p>
    <w:p w14:paraId="468C7B68" w14:textId="77777777" w:rsidR="00941D05" w:rsidRPr="00E76954" w:rsidRDefault="00941D05" w:rsidP="001A103F">
      <w:pPr>
        <w:widowControl w:val="0"/>
        <w:autoSpaceDE w:val="0"/>
        <w:autoSpaceDN w:val="0"/>
        <w:adjustRightInd w:val="0"/>
      </w:pPr>
    </w:p>
    <w:p w14:paraId="16670FDD" w14:textId="77777777" w:rsidR="008E5E3E" w:rsidRPr="00E76954" w:rsidRDefault="008E5E3E" w:rsidP="008E5E3E">
      <w:pPr>
        <w:widowControl w:val="0"/>
        <w:autoSpaceDE w:val="0"/>
        <w:autoSpaceDN w:val="0"/>
        <w:adjustRightInd w:val="0"/>
        <w:ind w:left="2880" w:hanging="720"/>
      </w:pPr>
      <w:r w:rsidRPr="00E76954">
        <w:t>A)</w:t>
      </w:r>
      <w:r w:rsidRPr="00E76954">
        <w:tab/>
        <w:t xml:space="preserve">A failure to comply with an applicable MCL or MRDL. </w:t>
      </w:r>
    </w:p>
    <w:p w14:paraId="0AD844EA" w14:textId="77777777" w:rsidR="00941D05" w:rsidRPr="00E76954" w:rsidRDefault="00941D05" w:rsidP="001A103F">
      <w:pPr>
        <w:widowControl w:val="0"/>
        <w:autoSpaceDE w:val="0"/>
        <w:autoSpaceDN w:val="0"/>
        <w:adjustRightInd w:val="0"/>
      </w:pPr>
    </w:p>
    <w:p w14:paraId="25D87E41" w14:textId="77777777" w:rsidR="008E5E3E" w:rsidRPr="00E76954" w:rsidRDefault="008E5E3E" w:rsidP="008E5E3E">
      <w:pPr>
        <w:widowControl w:val="0"/>
        <w:autoSpaceDE w:val="0"/>
        <w:autoSpaceDN w:val="0"/>
        <w:adjustRightInd w:val="0"/>
        <w:ind w:left="2880" w:hanging="720"/>
      </w:pPr>
      <w:r w:rsidRPr="00E76954">
        <w:t>B)</w:t>
      </w:r>
      <w:r w:rsidRPr="00E76954">
        <w:tab/>
        <w:t xml:space="preserve">A failure to comply with a prescribed treatment technique. </w:t>
      </w:r>
    </w:p>
    <w:p w14:paraId="7D7054C2" w14:textId="77777777" w:rsidR="00941D05" w:rsidRPr="00E76954" w:rsidRDefault="00941D05" w:rsidP="001A103F">
      <w:pPr>
        <w:widowControl w:val="0"/>
        <w:autoSpaceDE w:val="0"/>
        <w:autoSpaceDN w:val="0"/>
        <w:adjustRightInd w:val="0"/>
      </w:pPr>
    </w:p>
    <w:p w14:paraId="59708BD0" w14:textId="77777777" w:rsidR="008E5E3E" w:rsidRPr="00E76954" w:rsidRDefault="008E5E3E" w:rsidP="008E5E3E">
      <w:pPr>
        <w:widowControl w:val="0"/>
        <w:autoSpaceDE w:val="0"/>
        <w:autoSpaceDN w:val="0"/>
        <w:adjustRightInd w:val="0"/>
        <w:ind w:left="2880" w:hanging="720"/>
      </w:pPr>
      <w:r w:rsidRPr="00E76954">
        <w:t>C)</w:t>
      </w:r>
      <w:r w:rsidRPr="00E76954">
        <w:tab/>
        <w:t xml:space="preserve">A failure to perform water quality monitoring, as required by this Part. </w:t>
      </w:r>
    </w:p>
    <w:p w14:paraId="4DB095C9" w14:textId="77777777" w:rsidR="00941D05" w:rsidRPr="00E76954" w:rsidRDefault="00941D05" w:rsidP="001A103F">
      <w:pPr>
        <w:widowControl w:val="0"/>
        <w:autoSpaceDE w:val="0"/>
        <w:autoSpaceDN w:val="0"/>
        <w:adjustRightInd w:val="0"/>
      </w:pPr>
    </w:p>
    <w:p w14:paraId="0A6F1717" w14:textId="77777777" w:rsidR="008E5E3E" w:rsidRPr="00E76954" w:rsidRDefault="008E5E3E" w:rsidP="008E5E3E">
      <w:pPr>
        <w:widowControl w:val="0"/>
        <w:autoSpaceDE w:val="0"/>
        <w:autoSpaceDN w:val="0"/>
        <w:adjustRightInd w:val="0"/>
        <w:ind w:left="2880" w:hanging="720"/>
      </w:pPr>
      <w:r w:rsidRPr="00E76954">
        <w:t>D)</w:t>
      </w:r>
      <w:r w:rsidRPr="00E76954">
        <w:tab/>
        <w:t xml:space="preserve">A failure to comply with testing procedures as prescribed by this Part. </w:t>
      </w:r>
    </w:p>
    <w:p w14:paraId="62D58361" w14:textId="77777777" w:rsidR="00941D05" w:rsidRPr="00E76954" w:rsidRDefault="00941D05" w:rsidP="001A103F">
      <w:pPr>
        <w:widowControl w:val="0"/>
        <w:autoSpaceDE w:val="0"/>
        <w:autoSpaceDN w:val="0"/>
        <w:adjustRightInd w:val="0"/>
      </w:pPr>
    </w:p>
    <w:p w14:paraId="341DF8A8" w14:textId="77777777" w:rsidR="008E5E3E" w:rsidRPr="00E76954" w:rsidRDefault="008E5E3E" w:rsidP="008E5E3E">
      <w:pPr>
        <w:widowControl w:val="0"/>
        <w:autoSpaceDE w:val="0"/>
        <w:autoSpaceDN w:val="0"/>
        <w:adjustRightInd w:val="0"/>
        <w:ind w:left="2160" w:hanging="720"/>
      </w:pPr>
      <w:r w:rsidRPr="00E76954">
        <w:t>2)</w:t>
      </w:r>
      <w:r w:rsidRPr="00E76954">
        <w:tab/>
        <w:t xml:space="preserve">Relief </w:t>
      </w:r>
      <w:r w:rsidR="000746D3" w:rsidRPr="00E76954">
        <w:t>Equivalent</w:t>
      </w:r>
      <w:r w:rsidRPr="00E76954">
        <w:t xml:space="preserve"> to a </w:t>
      </w:r>
      <w:r w:rsidR="000746D3" w:rsidRPr="00E76954">
        <w:t>Variance</w:t>
      </w:r>
      <w:r w:rsidRPr="00E76954">
        <w:t xml:space="preserve"> and </w:t>
      </w:r>
      <w:r w:rsidR="000746D3" w:rsidRPr="00E76954">
        <w:t>Exemptions</w:t>
      </w:r>
      <w:r w:rsidRPr="00E76954">
        <w:t xml:space="preserve"> under </w:t>
      </w:r>
      <w:r w:rsidR="000746D3" w:rsidRPr="00E76954">
        <w:t>Sections</w:t>
      </w:r>
      <w:r w:rsidRPr="00E76954">
        <w:t xml:space="preserve"> 1415 and 1416 of SDWA</w:t>
      </w:r>
      <w:r w:rsidR="00677798" w:rsidRPr="00E76954">
        <w:t>.</w:t>
      </w:r>
      <w:r w:rsidRPr="00E76954">
        <w:t xml:space="preserve"> </w:t>
      </w:r>
    </w:p>
    <w:p w14:paraId="7CD90564" w14:textId="77777777" w:rsidR="00941D05" w:rsidRPr="00E76954" w:rsidRDefault="00941D05" w:rsidP="001A103F">
      <w:pPr>
        <w:widowControl w:val="0"/>
        <w:autoSpaceDE w:val="0"/>
        <w:autoSpaceDN w:val="0"/>
        <w:adjustRightInd w:val="0"/>
      </w:pPr>
    </w:p>
    <w:p w14:paraId="2CB0CEA8" w14:textId="77777777" w:rsidR="008E5E3E" w:rsidRPr="00E76954" w:rsidRDefault="008E5E3E" w:rsidP="008E5E3E">
      <w:pPr>
        <w:widowControl w:val="0"/>
        <w:autoSpaceDE w:val="0"/>
        <w:autoSpaceDN w:val="0"/>
        <w:adjustRightInd w:val="0"/>
        <w:ind w:left="2880" w:hanging="720"/>
      </w:pPr>
      <w:r w:rsidRPr="00E76954">
        <w:t>A)</w:t>
      </w:r>
      <w:r w:rsidRPr="00E76954">
        <w:tab/>
        <w:t xml:space="preserve">Operation under relief equivalent to a SDWA section 1415 variance, under Section 611.111, or a SDWA section 1416 exemption, under Section 611.112. </w:t>
      </w:r>
    </w:p>
    <w:p w14:paraId="15F4CA4A" w14:textId="77777777" w:rsidR="00941D05" w:rsidRPr="00E76954" w:rsidRDefault="00941D05" w:rsidP="001A103F">
      <w:pPr>
        <w:widowControl w:val="0"/>
        <w:autoSpaceDE w:val="0"/>
        <w:autoSpaceDN w:val="0"/>
        <w:adjustRightInd w:val="0"/>
      </w:pPr>
    </w:p>
    <w:p w14:paraId="6B0148C1" w14:textId="77777777" w:rsidR="008E5E3E" w:rsidRPr="00E76954" w:rsidRDefault="008E5E3E" w:rsidP="008E5E3E">
      <w:pPr>
        <w:widowControl w:val="0"/>
        <w:autoSpaceDE w:val="0"/>
        <w:autoSpaceDN w:val="0"/>
        <w:adjustRightInd w:val="0"/>
        <w:ind w:left="2880" w:hanging="720"/>
      </w:pPr>
      <w:r w:rsidRPr="00E76954">
        <w:t>B)</w:t>
      </w:r>
      <w:r w:rsidRPr="00E76954">
        <w:tab/>
        <w:t xml:space="preserve">A failure to comply with the requirements of any schedule that has been set under relief equivalent to a SDWA section 1415 variance, under Section 611.111, or a SDWA section 1415 exemption, under Section 611.112. </w:t>
      </w:r>
    </w:p>
    <w:p w14:paraId="2B510615" w14:textId="77777777" w:rsidR="00941D05" w:rsidRPr="00E76954" w:rsidRDefault="00941D05" w:rsidP="001A103F">
      <w:pPr>
        <w:widowControl w:val="0"/>
        <w:autoSpaceDE w:val="0"/>
        <w:autoSpaceDN w:val="0"/>
        <w:adjustRightInd w:val="0"/>
      </w:pPr>
    </w:p>
    <w:p w14:paraId="5E6311BE" w14:textId="77777777" w:rsidR="008E5E3E" w:rsidRPr="00E76954" w:rsidRDefault="008E5E3E" w:rsidP="008E5E3E">
      <w:pPr>
        <w:widowControl w:val="0"/>
        <w:autoSpaceDE w:val="0"/>
        <w:autoSpaceDN w:val="0"/>
        <w:adjustRightInd w:val="0"/>
        <w:ind w:left="2160" w:hanging="720"/>
      </w:pPr>
      <w:r w:rsidRPr="00E76954">
        <w:t>3)</w:t>
      </w:r>
      <w:r w:rsidRPr="00E76954">
        <w:tab/>
        <w:t xml:space="preserve">Special </w:t>
      </w:r>
      <w:r w:rsidR="000746D3" w:rsidRPr="00E76954">
        <w:t>Public Notices</w:t>
      </w:r>
      <w:r w:rsidRPr="00E76954">
        <w:t xml:space="preserve"> </w:t>
      </w:r>
    </w:p>
    <w:p w14:paraId="19AC961E" w14:textId="77777777" w:rsidR="00941D05" w:rsidRPr="00E76954" w:rsidRDefault="00941D05" w:rsidP="001A103F">
      <w:pPr>
        <w:widowControl w:val="0"/>
        <w:autoSpaceDE w:val="0"/>
        <w:autoSpaceDN w:val="0"/>
        <w:adjustRightInd w:val="0"/>
      </w:pPr>
    </w:p>
    <w:p w14:paraId="0D07CC8D" w14:textId="77777777" w:rsidR="008E5E3E" w:rsidRPr="00E76954" w:rsidRDefault="008E5E3E" w:rsidP="008E5E3E">
      <w:pPr>
        <w:widowControl w:val="0"/>
        <w:autoSpaceDE w:val="0"/>
        <w:autoSpaceDN w:val="0"/>
        <w:adjustRightInd w:val="0"/>
        <w:ind w:left="2880" w:hanging="720"/>
      </w:pPr>
      <w:r w:rsidRPr="00E76954">
        <w:t>A)</w:t>
      </w:r>
      <w:r w:rsidRPr="00E76954">
        <w:tab/>
        <w:t xml:space="preserve">The occurrence of a waterborne disease outbreak or other waterborne emergency. </w:t>
      </w:r>
    </w:p>
    <w:p w14:paraId="7F3EF3EB" w14:textId="77777777" w:rsidR="00941D05" w:rsidRPr="00E76954" w:rsidRDefault="00941D05" w:rsidP="001A103F">
      <w:pPr>
        <w:widowControl w:val="0"/>
        <w:autoSpaceDE w:val="0"/>
        <w:autoSpaceDN w:val="0"/>
        <w:adjustRightInd w:val="0"/>
      </w:pPr>
    </w:p>
    <w:p w14:paraId="2D206F24" w14:textId="5C269782" w:rsidR="008E5E3E" w:rsidRPr="00E76954" w:rsidRDefault="008E5E3E" w:rsidP="008E5E3E">
      <w:pPr>
        <w:widowControl w:val="0"/>
        <w:autoSpaceDE w:val="0"/>
        <w:autoSpaceDN w:val="0"/>
        <w:adjustRightInd w:val="0"/>
        <w:ind w:left="2880" w:hanging="720"/>
      </w:pPr>
      <w:r w:rsidRPr="00E76954">
        <w:t>B)</w:t>
      </w:r>
      <w:r w:rsidRPr="00E76954">
        <w:tab/>
        <w:t xml:space="preserve">An </w:t>
      </w:r>
      <w:r w:rsidR="00CF4D77" w:rsidRPr="00E76954">
        <w:t>exceedance</w:t>
      </w:r>
      <w:r w:rsidRPr="00E76954">
        <w:t xml:space="preserve"> of the nitrate MCL by a non-CWS, </w:t>
      </w:r>
      <w:r w:rsidR="00310D83" w:rsidRPr="00E76954">
        <w:t>if</w:t>
      </w:r>
      <w:r w:rsidRPr="00E76954">
        <w:t xml:space="preserve"> granted permission by the Agency under Section 611.300(d). </w:t>
      </w:r>
    </w:p>
    <w:p w14:paraId="505479CA" w14:textId="77777777" w:rsidR="00941D05" w:rsidRPr="00E76954" w:rsidRDefault="00941D05" w:rsidP="001A103F">
      <w:pPr>
        <w:widowControl w:val="0"/>
        <w:autoSpaceDE w:val="0"/>
        <w:autoSpaceDN w:val="0"/>
        <w:adjustRightInd w:val="0"/>
      </w:pPr>
    </w:p>
    <w:p w14:paraId="53D11FAF" w14:textId="4F8F433F" w:rsidR="008E5E3E" w:rsidRPr="00E76954" w:rsidRDefault="008E5E3E" w:rsidP="008E5E3E">
      <w:pPr>
        <w:widowControl w:val="0"/>
        <w:autoSpaceDE w:val="0"/>
        <w:autoSpaceDN w:val="0"/>
        <w:adjustRightInd w:val="0"/>
        <w:ind w:left="2880" w:hanging="720"/>
      </w:pPr>
      <w:r w:rsidRPr="00E76954">
        <w:t>C)</w:t>
      </w:r>
      <w:r w:rsidRPr="00E76954">
        <w:tab/>
      </w:r>
      <w:r w:rsidR="00CF4D77" w:rsidRPr="00E76954">
        <w:t>The notice required by Section 611.908 for an exceedance</w:t>
      </w:r>
      <w:r w:rsidRPr="00E76954">
        <w:t xml:space="preserve"> of </w:t>
      </w:r>
      <w:r w:rsidR="00CF4D77" w:rsidRPr="00E76954">
        <w:t xml:space="preserve">2 </w:t>
      </w:r>
      <w:r w:rsidR="00CF4D77" w:rsidRPr="00E76954">
        <w:lastRenderedPageBreak/>
        <w:t>mg/</w:t>
      </w:r>
      <w:r w:rsidR="002D78CD">
        <w:rPr>
          <w:spacing w:val="-2"/>
        </w:rPr>
        <w:t>L</w:t>
      </w:r>
      <w:r w:rsidR="00CF4D77" w:rsidRPr="00E76954">
        <w:t xml:space="preserve"> fluoride (</w:t>
      </w:r>
      <w:r w:rsidRPr="00E76954">
        <w:t xml:space="preserve">the </w:t>
      </w:r>
      <w:r w:rsidR="00CF4D77" w:rsidRPr="00E76954">
        <w:t xml:space="preserve">federal </w:t>
      </w:r>
      <w:r w:rsidRPr="00E76954">
        <w:t xml:space="preserve">secondary </w:t>
      </w:r>
      <w:r w:rsidR="00CF4D77" w:rsidRPr="00E76954">
        <w:t xml:space="preserve">MCL for </w:t>
      </w:r>
      <w:r w:rsidRPr="00E76954">
        <w:t xml:space="preserve">fluoride </w:t>
      </w:r>
      <w:r w:rsidR="00CF4D77" w:rsidRPr="00E76954">
        <w:t>(see 40 CFR 143.3))</w:t>
      </w:r>
      <w:r w:rsidRPr="00E76954">
        <w:t xml:space="preserve">. </w:t>
      </w:r>
    </w:p>
    <w:p w14:paraId="18B96C98" w14:textId="77777777" w:rsidR="00941D05" w:rsidRPr="00E76954" w:rsidRDefault="00941D05" w:rsidP="00584935"/>
    <w:p w14:paraId="1C87CBE7" w14:textId="77777777" w:rsidR="00CF4D77" w:rsidRPr="00E76954" w:rsidRDefault="00CF4D77" w:rsidP="00CF4D77">
      <w:pPr>
        <w:ind w:left="2880"/>
      </w:pPr>
      <w:r w:rsidRPr="00E76954">
        <w:t xml:space="preserve">BOARD NOTE:  See the Board </w:t>
      </w:r>
      <w:r w:rsidR="00C11251" w:rsidRPr="00E76954">
        <w:t>N</w:t>
      </w:r>
      <w:r w:rsidRPr="00E76954">
        <w:t>ote appended to Section 611.908 for explanation.</w:t>
      </w:r>
    </w:p>
    <w:p w14:paraId="20A617BD" w14:textId="77777777" w:rsidR="00CF4D77" w:rsidRPr="00E76954" w:rsidRDefault="00CF4D77" w:rsidP="001A103F">
      <w:pPr>
        <w:widowControl w:val="0"/>
        <w:autoSpaceDE w:val="0"/>
        <w:autoSpaceDN w:val="0"/>
        <w:adjustRightInd w:val="0"/>
      </w:pPr>
    </w:p>
    <w:p w14:paraId="1EE977B1" w14:textId="77777777" w:rsidR="008E5E3E" w:rsidRPr="00E76954" w:rsidRDefault="008E5E3E" w:rsidP="008E5E3E">
      <w:pPr>
        <w:widowControl w:val="0"/>
        <w:autoSpaceDE w:val="0"/>
        <w:autoSpaceDN w:val="0"/>
        <w:adjustRightInd w:val="0"/>
        <w:ind w:left="2880" w:hanging="720"/>
      </w:pPr>
      <w:r w:rsidRPr="00E76954">
        <w:t>D)</w:t>
      </w:r>
      <w:r w:rsidRPr="00E76954">
        <w:tab/>
        <w:t>The availability of unregulated contaminant monitoring data</w:t>
      </w:r>
      <w:r w:rsidR="005545C4" w:rsidRPr="00E76954">
        <w:t xml:space="preserve"> collected as required by </w:t>
      </w:r>
      <w:r w:rsidR="005545C4" w:rsidRPr="00E76954">
        <w:rPr>
          <w:spacing w:val="-2"/>
        </w:rPr>
        <w:t xml:space="preserve">USEPA </w:t>
      </w:r>
      <w:r w:rsidR="00870A49" w:rsidRPr="00E76954">
        <w:rPr>
          <w:spacing w:val="-2"/>
        </w:rPr>
        <w:t>under</w:t>
      </w:r>
      <w:r w:rsidR="005545C4" w:rsidRPr="00E76954">
        <w:rPr>
          <w:spacing w:val="-2"/>
        </w:rPr>
        <w:t xml:space="preserve"> 40 CFR 141.40</w:t>
      </w:r>
      <w:r w:rsidRPr="00E76954">
        <w:t xml:space="preserve">. </w:t>
      </w:r>
    </w:p>
    <w:p w14:paraId="7DA18675" w14:textId="77777777" w:rsidR="00941D05" w:rsidRPr="00E76954" w:rsidRDefault="00941D05" w:rsidP="001A103F">
      <w:pPr>
        <w:widowControl w:val="0"/>
        <w:autoSpaceDE w:val="0"/>
        <w:autoSpaceDN w:val="0"/>
        <w:adjustRightInd w:val="0"/>
      </w:pPr>
    </w:p>
    <w:p w14:paraId="38B02972" w14:textId="4613ACBD" w:rsidR="008E5E3E" w:rsidRPr="00E76954" w:rsidRDefault="008E5E3E" w:rsidP="008E5E3E">
      <w:pPr>
        <w:widowControl w:val="0"/>
        <w:autoSpaceDE w:val="0"/>
        <w:autoSpaceDN w:val="0"/>
        <w:adjustRightInd w:val="0"/>
        <w:ind w:left="2880" w:hanging="720"/>
      </w:pPr>
      <w:r w:rsidRPr="00E76954">
        <w:t>E)</w:t>
      </w:r>
      <w:r w:rsidRPr="00E76954">
        <w:tab/>
        <w:t xml:space="preserve">Other violations and situations determined by the Agency </w:t>
      </w:r>
      <w:r w:rsidR="00310D83" w:rsidRPr="00E76954">
        <w:t>in</w:t>
      </w:r>
      <w:r w:rsidRPr="00E76954">
        <w:t xml:space="preserve"> a SEP to require a public notice under this Subpart</w:t>
      </w:r>
      <w:r w:rsidR="00FA1101" w:rsidRPr="00E76954">
        <w:t xml:space="preserve"> V</w:t>
      </w:r>
      <w:r w:rsidRPr="00E76954">
        <w:t xml:space="preserve">, not already listed in Appendix G. </w:t>
      </w:r>
    </w:p>
    <w:p w14:paraId="55F37272" w14:textId="777A6A55" w:rsidR="00310D83" w:rsidRPr="00E76954" w:rsidRDefault="00310D83" w:rsidP="001A103F">
      <w:pPr>
        <w:widowControl w:val="0"/>
        <w:autoSpaceDE w:val="0"/>
        <w:autoSpaceDN w:val="0"/>
        <w:adjustRightInd w:val="0"/>
      </w:pPr>
    </w:p>
    <w:p w14:paraId="0BFEED22" w14:textId="00068942" w:rsidR="00310D83" w:rsidRPr="00E76954" w:rsidRDefault="00310D83" w:rsidP="00310D83">
      <w:pPr>
        <w:autoSpaceDE w:val="0"/>
        <w:autoSpaceDN w:val="0"/>
        <w:adjustRightInd w:val="0"/>
        <w:ind w:left="2880" w:hanging="720"/>
      </w:pPr>
      <w:r w:rsidRPr="00E76954">
        <w:t>F)</w:t>
      </w:r>
      <w:r w:rsidRPr="00E76954">
        <w:tab/>
        <w:t>E</w:t>
      </w:r>
      <w:bookmarkStart w:id="0" w:name="_Hlk126757906"/>
      <w:r w:rsidRPr="00E76954">
        <w:t>xceeding the lead action level</w:t>
      </w:r>
      <w:bookmarkEnd w:id="0"/>
      <w:r w:rsidRPr="00E76954">
        <w:t>.</w:t>
      </w:r>
    </w:p>
    <w:p w14:paraId="2E4E46CD" w14:textId="77777777" w:rsidR="00310D83" w:rsidRPr="00E76954" w:rsidRDefault="00310D83" w:rsidP="001A103F">
      <w:pPr>
        <w:widowControl w:val="0"/>
        <w:autoSpaceDE w:val="0"/>
        <w:autoSpaceDN w:val="0"/>
        <w:adjustRightInd w:val="0"/>
      </w:pPr>
    </w:p>
    <w:p w14:paraId="0BF4AB16" w14:textId="77777777" w:rsidR="008E5E3E" w:rsidRPr="00E76954" w:rsidRDefault="008E5E3E" w:rsidP="008E5E3E">
      <w:pPr>
        <w:widowControl w:val="0"/>
        <w:autoSpaceDE w:val="0"/>
        <w:autoSpaceDN w:val="0"/>
        <w:adjustRightInd w:val="0"/>
        <w:ind w:left="1440" w:hanging="720"/>
      </w:pPr>
      <w:r w:rsidRPr="00E76954">
        <w:t>b)</w:t>
      </w:r>
      <w:r w:rsidRPr="00E76954">
        <w:tab/>
        <w:t xml:space="preserve">The </w:t>
      </w:r>
      <w:r w:rsidR="000746D3" w:rsidRPr="00E76954">
        <w:t>Type</w:t>
      </w:r>
      <w:r w:rsidRPr="00E76954">
        <w:t xml:space="preserve"> of </w:t>
      </w:r>
      <w:r w:rsidR="000746D3" w:rsidRPr="00E76954">
        <w:t>Public Notice Required</w:t>
      </w:r>
      <w:r w:rsidRPr="00E76954">
        <w:t xml:space="preserve"> for </w:t>
      </w:r>
      <w:r w:rsidR="000746D3" w:rsidRPr="00E76954">
        <w:t>Each Violation</w:t>
      </w:r>
      <w:r w:rsidRPr="00E76954">
        <w:t xml:space="preserve"> or </w:t>
      </w:r>
      <w:r w:rsidR="000746D3" w:rsidRPr="00E76954">
        <w:t>Situation</w:t>
      </w:r>
      <w:r w:rsidRPr="00E76954">
        <w:t xml:space="preserve">.  The public notice requirements of this Subpart V are divided into three tiers, to take into account the seriousness of the violation or situation and of any potential adverse health effects that may be involved.  The public notice requirements for each violation or situation listed in subsection (a) are determined by the tier to which it is assigned.  This subsection (b) provides the definition of each tier.  Appendix G identifies the tier assignment for each specific violation or situation. </w:t>
      </w:r>
    </w:p>
    <w:p w14:paraId="44541507" w14:textId="77777777" w:rsidR="00941D05" w:rsidRPr="00E76954" w:rsidRDefault="00941D05" w:rsidP="001A103F">
      <w:pPr>
        <w:widowControl w:val="0"/>
        <w:autoSpaceDE w:val="0"/>
        <w:autoSpaceDN w:val="0"/>
        <w:adjustRightInd w:val="0"/>
      </w:pPr>
    </w:p>
    <w:p w14:paraId="68B7838F" w14:textId="77777777" w:rsidR="008E5E3E" w:rsidRPr="00E76954" w:rsidRDefault="008E5E3E" w:rsidP="008E5E3E">
      <w:pPr>
        <w:widowControl w:val="0"/>
        <w:autoSpaceDE w:val="0"/>
        <w:autoSpaceDN w:val="0"/>
        <w:adjustRightInd w:val="0"/>
        <w:ind w:left="2160" w:hanging="720"/>
      </w:pPr>
      <w:r w:rsidRPr="00E76954">
        <w:t>1)</w:t>
      </w:r>
      <w:r w:rsidRPr="00E76954">
        <w:tab/>
        <w:t xml:space="preserve">Tier 1 public notice:  required for NPDWR violations and situations with significant potential to have serious adverse effects on human health as a result of short-term exposure. </w:t>
      </w:r>
    </w:p>
    <w:p w14:paraId="633EF2DE" w14:textId="77777777" w:rsidR="00941D05" w:rsidRPr="00E76954" w:rsidRDefault="00941D05" w:rsidP="001A103F">
      <w:pPr>
        <w:widowControl w:val="0"/>
        <w:autoSpaceDE w:val="0"/>
        <w:autoSpaceDN w:val="0"/>
        <w:adjustRightInd w:val="0"/>
      </w:pPr>
    </w:p>
    <w:p w14:paraId="00F81A66" w14:textId="77777777" w:rsidR="008E5E3E" w:rsidRPr="00E76954" w:rsidRDefault="008E5E3E" w:rsidP="008E5E3E">
      <w:pPr>
        <w:widowControl w:val="0"/>
        <w:autoSpaceDE w:val="0"/>
        <w:autoSpaceDN w:val="0"/>
        <w:adjustRightInd w:val="0"/>
        <w:ind w:left="2160" w:hanging="720"/>
      </w:pPr>
      <w:r w:rsidRPr="00E76954">
        <w:t>2)</w:t>
      </w:r>
      <w:r w:rsidRPr="00E76954">
        <w:tab/>
        <w:t xml:space="preserve">Tier 2 public notice:  required for all other NPDWR violations and situations with potential to have serious adverse effects on human health. </w:t>
      </w:r>
    </w:p>
    <w:p w14:paraId="4919762C" w14:textId="77777777" w:rsidR="00941D05" w:rsidRPr="00E76954" w:rsidRDefault="00941D05" w:rsidP="001A103F">
      <w:pPr>
        <w:widowControl w:val="0"/>
        <w:autoSpaceDE w:val="0"/>
        <w:autoSpaceDN w:val="0"/>
        <w:adjustRightInd w:val="0"/>
      </w:pPr>
    </w:p>
    <w:p w14:paraId="70D75BE3" w14:textId="77777777" w:rsidR="008E5E3E" w:rsidRPr="00E76954" w:rsidRDefault="008E5E3E" w:rsidP="008E5E3E">
      <w:pPr>
        <w:widowControl w:val="0"/>
        <w:autoSpaceDE w:val="0"/>
        <w:autoSpaceDN w:val="0"/>
        <w:adjustRightInd w:val="0"/>
        <w:ind w:left="2160" w:hanging="720"/>
      </w:pPr>
      <w:r w:rsidRPr="00E76954">
        <w:t>3)</w:t>
      </w:r>
      <w:r w:rsidRPr="00E76954">
        <w:tab/>
        <w:t xml:space="preserve">Tier 3 public notice:  required for all other NPDWR violations and situations not included in Tier 1 and Tier 2. </w:t>
      </w:r>
    </w:p>
    <w:p w14:paraId="10ECF9F8" w14:textId="77777777" w:rsidR="00941D05" w:rsidRPr="00E76954" w:rsidRDefault="00941D05" w:rsidP="001A103F">
      <w:pPr>
        <w:widowControl w:val="0"/>
        <w:autoSpaceDE w:val="0"/>
        <w:autoSpaceDN w:val="0"/>
        <w:adjustRightInd w:val="0"/>
      </w:pPr>
    </w:p>
    <w:p w14:paraId="6E3E6526" w14:textId="77777777" w:rsidR="008E5E3E" w:rsidRPr="00E76954" w:rsidRDefault="008E5E3E" w:rsidP="008E5E3E">
      <w:pPr>
        <w:widowControl w:val="0"/>
        <w:autoSpaceDE w:val="0"/>
        <w:autoSpaceDN w:val="0"/>
        <w:adjustRightInd w:val="0"/>
        <w:ind w:left="1440" w:hanging="720"/>
      </w:pPr>
      <w:r w:rsidRPr="00E76954">
        <w:t>c)</w:t>
      </w:r>
      <w:r w:rsidRPr="00E76954">
        <w:tab/>
        <w:t xml:space="preserve">Who </w:t>
      </w:r>
      <w:r w:rsidR="000746D3" w:rsidRPr="00E76954">
        <w:t>Must Receive Notice</w:t>
      </w:r>
      <w:r w:rsidRPr="00E76954">
        <w:t xml:space="preserve"> </w:t>
      </w:r>
    </w:p>
    <w:p w14:paraId="6ABB5CA3" w14:textId="77777777" w:rsidR="00941D05" w:rsidRPr="00E76954" w:rsidRDefault="00941D05" w:rsidP="001A103F">
      <w:pPr>
        <w:widowControl w:val="0"/>
        <w:autoSpaceDE w:val="0"/>
        <w:autoSpaceDN w:val="0"/>
        <w:adjustRightInd w:val="0"/>
      </w:pPr>
    </w:p>
    <w:p w14:paraId="30DDC08B" w14:textId="7BD6BB3A" w:rsidR="008E5E3E" w:rsidRPr="00E76954" w:rsidRDefault="008E5E3E" w:rsidP="008E5E3E">
      <w:pPr>
        <w:widowControl w:val="0"/>
        <w:autoSpaceDE w:val="0"/>
        <w:autoSpaceDN w:val="0"/>
        <w:adjustRightInd w:val="0"/>
        <w:ind w:left="2160" w:hanging="720"/>
      </w:pPr>
      <w:r w:rsidRPr="00E76954">
        <w:t>1)</w:t>
      </w:r>
      <w:r w:rsidRPr="00E76954">
        <w:tab/>
        <w:t>Each PWS supplier must provide public notice to persons served by the water supplier</w:t>
      </w:r>
      <w:r w:rsidR="00310D83" w:rsidRPr="00E76954">
        <w:t xml:space="preserve"> under</w:t>
      </w:r>
      <w:r w:rsidRPr="00E76954">
        <w:t xml:space="preserve"> this Subpart V.  A PWS supplier that sells or otherwise provides drinking water to another PWS supplier (i.e., to a consecutive system) is required to give public notice to the owner or operator of the consecutive system; the consecutive system supplier is responsible for providing public notice to the persons it serves. </w:t>
      </w:r>
    </w:p>
    <w:p w14:paraId="46305A7B" w14:textId="77777777" w:rsidR="00941D05" w:rsidRPr="00E76954" w:rsidRDefault="00941D05" w:rsidP="001A103F">
      <w:pPr>
        <w:widowControl w:val="0"/>
        <w:autoSpaceDE w:val="0"/>
        <w:autoSpaceDN w:val="0"/>
        <w:adjustRightInd w:val="0"/>
      </w:pPr>
    </w:p>
    <w:p w14:paraId="480BED2F" w14:textId="7408C209" w:rsidR="008E5E3E" w:rsidRPr="00E76954" w:rsidRDefault="008E5E3E" w:rsidP="008E5E3E">
      <w:pPr>
        <w:widowControl w:val="0"/>
        <w:autoSpaceDE w:val="0"/>
        <w:autoSpaceDN w:val="0"/>
        <w:adjustRightInd w:val="0"/>
        <w:ind w:left="2160" w:hanging="720"/>
      </w:pPr>
      <w:r w:rsidRPr="00E76954">
        <w:t>2)</w:t>
      </w:r>
      <w:r w:rsidRPr="00E76954">
        <w:tab/>
        <w:t xml:space="preserve">If a PWS supplier has a violation in a portion of the distribution system that is physically or hydraulically isolated from other parts of the distribution system, the Agency may allow the system to limit distribution of the public notice to only persons served by that portion of the system </w:t>
      </w:r>
      <w:r w:rsidRPr="00E76954">
        <w:lastRenderedPageBreak/>
        <w:t xml:space="preserve">that is out of compliance.  </w:t>
      </w:r>
      <w:r w:rsidR="00310D83" w:rsidRPr="00E76954">
        <w:t>The</w:t>
      </w:r>
      <w:r w:rsidRPr="00E76954">
        <w:t xml:space="preserve"> Agency </w:t>
      </w:r>
      <w:r w:rsidR="00310D83" w:rsidRPr="00E76954">
        <w:t>must issue a SEP when allowing the supplier to limit distributing notice</w:t>
      </w:r>
      <w:r w:rsidRPr="00E76954">
        <w:t xml:space="preserve">. </w:t>
      </w:r>
    </w:p>
    <w:p w14:paraId="0C970F60" w14:textId="77777777" w:rsidR="00941D05" w:rsidRPr="00E76954" w:rsidRDefault="00941D05" w:rsidP="001A103F">
      <w:pPr>
        <w:widowControl w:val="0"/>
        <w:autoSpaceDE w:val="0"/>
        <w:autoSpaceDN w:val="0"/>
        <w:adjustRightInd w:val="0"/>
      </w:pPr>
    </w:p>
    <w:p w14:paraId="1A358D8D" w14:textId="7F9B4D16" w:rsidR="008E5E3E" w:rsidRPr="00E76954" w:rsidRDefault="008E5E3E" w:rsidP="008E5E3E">
      <w:pPr>
        <w:widowControl w:val="0"/>
        <w:autoSpaceDE w:val="0"/>
        <w:autoSpaceDN w:val="0"/>
        <w:adjustRightInd w:val="0"/>
        <w:ind w:left="2160" w:hanging="720"/>
      </w:pPr>
      <w:r w:rsidRPr="00E76954">
        <w:t>3)</w:t>
      </w:r>
      <w:r w:rsidRPr="00E76954">
        <w:tab/>
      </w:r>
      <w:r w:rsidR="00310D83" w:rsidRPr="00E76954">
        <w:t>The supplier must also submit a</w:t>
      </w:r>
      <w:r w:rsidRPr="00E76954">
        <w:t xml:space="preserve"> copy of the notice to the Agency</w:t>
      </w:r>
      <w:r w:rsidR="00310D83" w:rsidRPr="00E76954">
        <w:t xml:space="preserve"> and the Administrator </w:t>
      </w:r>
      <w:bookmarkStart w:id="1" w:name="_Hlk126760041"/>
      <w:r w:rsidR="00310D83" w:rsidRPr="00E76954">
        <w:t>(for exceeding the lead action level)</w:t>
      </w:r>
      <w:bookmarkEnd w:id="1"/>
      <w:r w:rsidRPr="00E76954">
        <w:t xml:space="preserve"> under Section 611.840(d). </w:t>
      </w:r>
    </w:p>
    <w:p w14:paraId="13840C21" w14:textId="77777777" w:rsidR="00941D05" w:rsidRPr="00E76954" w:rsidRDefault="00941D05" w:rsidP="008E5E3E">
      <w:pPr>
        <w:widowControl w:val="0"/>
        <w:autoSpaceDE w:val="0"/>
        <w:autoSpaceDN w:val="0"/>
        <w:adjustRightInd w:val="0"/>
      </w:pPr>
    </w:p>
    <w:p w14:paraId="4BD2006A" w14:textId="03E93FF4" w:rsidR="008E5E3E" w:rsidRPr="00E76954" w:rsidRDefault="008E5E3E" w:rsidP="008E5E3E">
      <w:pPr>
        <w:widowControl w:val="0"/>
        <w:autoSpaceDE w:val="0"/>
        <w:autoSpaceDN w:val="0"/>
        <w:adjustRightInd w:val="0"/>
      </w:pPr>
      <w:r w:rsidRPr="00E76954">
        <w:t xml:space="preserve">BOARD NOTE:  </w:t>
      </w:r>
      <w:r w:rsidR="00310D83" w:rsidRPr="00E76954">
        <w:rPr>
          <w:spacing w:val="-3"/>
        </w:rPr>
        <w:t>This Section derives</w:t>
      </w:r>
      <w:r w:rsidRPr="00E76954">
        <w:t xml:space="preserve"> from 40 CFR 141.201. </w:t>
      </w:r>
    </w:p>
    <w:p w14:paraId="5266C5B6" w14:textId="77777777" w:rsidR="008E5E3E" w:rsidRPr="00E76954" w:rsidRDefault="008E5E3E" w:rsidP="008E5E3E">
      <w:pPr>
        <w:widowControl w:val="0"/>
        <w:autoSpaceDE w:val="0"/>
        <w:autoSpaceDN w:val="0"/>
        <w:adjustRightInd w:val="0"/>
      </w:pPr>
    </w:p>
    <w:p w14:paraId="4BBBC3D6" w14:textId="654051C3" w:rsidR="00AD33D7" w:rsidRPr="00E76954" w:rsidRDefault="00310D83" w:rsidP="00AD33D7">
      <w:pPr>
        <w:pStyle w:val="JCARSourceNote"/>
        <w:ind w:left="720"/>
      </w:pPr>
      <w:r w:rsidRPr="00E76954">
        <w:t xml:space="preserve">(Source:  Amended at 47 Ill. Reg. </w:t>
      </w:r>
      <w:r w:rsidR="00CF493F">
        <w:t>16486</w:t>
      </w:r>
      <w:r w:rsidRPr="00E76954">
        <w:t xml:space="preserve">, effective </w:t>
      </w:r>
      <w:r w:rsidR="00CF493F">
        <w:t>November 2, 2023</w:t>
      </w:r>
      <w:r w:rsidRPr="00E76954">
        <w:t>)</w:t>
      </w:r>
    </w:p>
    <w:sectPr w:rsidR="00AD33D7" w:rsidRPr="00E76954" w:rsidSect="008E5E3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8E5E3E"/>
    <w:rsid w:val="000508AF"/>
    <w:rsid w:val="000746D3"/>
    <w:rsid w:val="00094542"/>
    <w:rsid w:val="001340BF"/>
    <w:rsid w:val="001A103F"/>
    <w:rsid w:val="001E70B9"/>
    <w:rsid w:val="0027068C"/>
    <w:rsid w:val="00281A94"/>
    <w:rsid w:val="002A5FEF"/>
    <w:rsid w:val="002B11B1"/>
    <w:rsid w:val="002D78CD"/>
    <w:rsid w:val="00310D83"/>
    <w:rsid w:val="003A4F69"/>
    <w:rsid w:val="003B7122"/>
    <w:rsid w:val="00530CB3"/>
    <w:rsid w:val="005545C4"/>
    <w:rsid w:val="00584935"/>
    <w:rsid w:val="005C3366"/>
    <w:rsid w:val="00677798"/>
    <w:rsid w:val="006F1EDA"/>
    <w:rsid w:val="006F56E3"/>
    <w:rsid w:val="00747A35"/>
    <w:rsid w:val="00750DEC"/>
    <w:rsid w:val="00766086"/>
    <w:rsid w:val="007723E1"/>
    <w:rsid w:val="007E47CA"/>
    <w:rsid w:val="00860F15"/>
    <w:rsid w:val="00870A49"/>
    <w:rsid w:val="00885649"/>
    <w:rsid w:val="00886204"/>
    <w:rsid w:val="008D3FE8"/>
    <w:rsid w:val="008E5E3E"/>
    <w:rsid w:val="00941D05"/>
    <w:rsid w:val="009440B7"/>
    <w:rsid w:val="00977130"/>
    <w:rsid w:val="00A64EA3"/>
    <w:rsid w:val="00AD33D7"/>
    <w:rsid w:val="00B8584A"/>
    <w:rsid w:val="00B85F00"/>
    <w:rsid w:val="00BB2907"/>
    <w:rsid w:val="00C11251"/>
    <w:rsid w:val="00C455FF"/>
    <w:rsid w:val="00CC614C"/>
    <w:rsid w:val="00CF493F"/>
    <w:rsid w:val="00CF4D77"/>
    <w:rsid w:val="00DB7958"/>
    <w:rsid w:val="00E22F82"/>
    <w:rsid w:val="00E76954"/>
    <w:rsid w:val="00EE6D19"/>
    <w:rsid w:val="00F250B6"/>
    <w:rsid w:val="00F544D4"/>
    <w:rsid w:val="00F762E4"/>
    <w:rsid w:val="00FA1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AF29AAF"/>
  <w15:docId w15:val="{6DA5C7AD-E470-4CF0-86B6-E8ECFB835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777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41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645</Words>
  <Characters>3681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Section 611</vt:lpstr>
    </vt:vector>
  </TitlesOfParts>
  <Company>General Assembly</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611</dc:title>
  <dc:subject/>
  <dc:creator>Illinois General Assembly</dc:creator>
  <cp:keywords/>
  <dc:description/>
  <cp:lastModifiedBy>Shipley, Melissa A.</cp:lastModifiedBy>
  <cp:revision>3</cp:revision>
  <dcterms:created xsi:type="dcterms:W3CDTF">2023-11-17T14:01:00Z</dcterms:created>
  <dcterms:modified xsi:type="dcterms:W3CDTF">2023-11-17T16:06:00Z</dcterms:modified>
</cp:coreProperties>
</file>