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0A" w:rsidRPr="005E13F7" w:rsidRDefault="0097380A" w:rsidP="0097380A"/>
    <w:p w:rsidR="0097380A" w:rsidRDefault="0097380A" w:rsidP="0097380A">
      <w:pPr>
        <w:rPr>
          <w:b/>
        </w:rPr>
      </w:pPr>
      <w:r>
        <w:rPr>
          <w:b/>
        </w:rPr>
        <w:t>Section 611.1057  Routine Monitoring Requirements for PWSs That Serve More Than 1,000 People</w:t>
      </w:r>
    </w:p>
    <w:p w:rsidR="0097380A" w:rsidRDefault="0097380A" w:rsidP="0097380A">
      <w:pPr>
        <w:rPr>
          <w:szCs w:val="24"/>
        </w:rPr>
      </w:pPr>
    </w:p>
    <w:p w:rsidR="0097380A" w:rsidRDefault="0097380A" w:rsidP="0097380A">
      <w:pPr>
        <w:ind w:left="1440" w:hanging="720"/>
        <w:rPr>
          <w:szCs w:val="24"/>
        </w:rPr>
      </w:pPr>
      <w:r>
        <w:rPr>
          <w:szCs w:val="24"/>
        </w:rPr>
        <w:t>a)</w:t>
      </w:r>
      <w:r>
        <w:rPr>
          <w:szCs w:val="24"/>
        </w:rPr>
        <w:tab/>
      </w:r>
      <w:r>
        <w:rPr>
          <w:iCs/>
          <w:szCs w:val="24"/>
        </w:rPr>
        <w:t>General</w:t>
      </w:r>
    </w:p>
    <w:p w:rsidR="0097380A" w:rsidRDefault="0097380A" w:rsidP="0097380A">
      <w:pPr>
        <w:rPr>
          <w:szCs w:val="24"/>
        </w:rPr>
      </w:pPr>
    </w:p>
    <w:p w:rsidR="0097380A" w:rsidRDefault="0097380A" w:rsidP="0097380A">
      <w:pPr>
        <w:ind w:left="2160" w:hanging="720"/>
        <w:rPr>
          <w:szCs w:val="24"/>
        </w:rPr>
      </w:pPr>
      <w:r>
        <w:rPr>
          <w:szCs w:val="24"/>
        </w:rPr>
        <w:t>1)</w:t>
      </w:r>
      <w:r>
        <w:rPr>
          <w:szCs w:val="24"/>
        </w:rPr>
        <w:tab/>
        <w:t>The provisions of this Section apply to public water systems serving more than 1,000 persons.</w:t>
      </w:r>
    </w:p>
    <w:p w:rsidR="0097380A" w:rsidRDefault="0097380A" w:rsidP="0097380A">
      <w:pPr>
        <w:rPr>
          <w:szCs w:val="24"/>
        </w:rPr>
      </w:pPr>
    </w:p>
    <w:p w:rsidR="0097380A" w:rsidRDefault="0097380A" w:rsidP="0097380A">
      <w:pPr>
        <w:ind w:left="2160" w:hanging="720"/>
        <w:rPr>
          <w:szCs w:val="24"/>
        </w:rPr>
      </w:pPr>
      <w:r>
        <w:rPr>
          <w:szCs w:val="24"/>
        </w:rPr>
        <w:t>2)</w:t>
      </w:r>
      <w:r>
        <w:rPr>
          <w:szCs w:val="24"/>
        </w:rPr>
        <w:tab/>
        <w:t xml:space="preserve">Following any total coliform-positive sample taken under the provisions of this Section, the supplier must comply with the repeat monitoring requirements and </w:t>
      </w:r>
      <w:r>
        <w:rPr>
          <w:iCs/>
          <w:szCs w:val="24"/>
        </w:rPr>
        <w:t xml:space="preserve">E. coli </w:t>
      </w:r>
      <w:r>
        <w:rPr>
          <w:szCs w:val="24"/>
        </w:rPr>
        <w:t>analytical requirements in Section 611.1058.</w:t>
      </w:r>
    </w:p>
    <w:p w:rsidR="0097380A" w:rsidRDefault="0097380A" w:rsidP="0097380A">
      <w:pPr>
        <w:rPr>
          <w:szCs w:val="24"/>
        </w:rPr>
      </w:pPr>
    </w:p>
    <w:p w:rsidR="0097380A" w:rsidRDefault="0097380A" w:rsidP="0097380A">
      <w:pPr>
        <w:ind w:left="2160" w:hanging="720"/>
        <w:rPr>
          <w:szCs w:val="24"/>
        </w:rPr>
      </w:pPr>
      <w:r>
        <w:rPr>
          <w:szCs w:val="24"/>
        </w:rPr>
        <w:t>3)</w:t>
      </w:r>
      <w:r>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rsidR="0097380A" w:rsidRDefault="0097380A" w:rsidP="0097380A">
      <w:pPr>
        <w:rPr>
          <w:szCs w:val="24"/>
        </w:rPr>
      </w:pPr>
    </w:p>
    <w:p w:rsidR="0097380A" w:rsidRDefault="0097380A" w:rsidP="0097380A">
      <w:pPr>
        <w:ind w:left="2160" w:hanging="720"/>
        <w:rPr>
          <w:szCs w:val="24"/>
        </w:rPr>
      </w:pPr>
      <w:r>
        <w:rPr>
          <w:szCs w:val="24"/>
        </w:rPr>
        <w:t>4)</w:t>
      </w:r>
      <w:r>
        <w:rPr>
          <w:szCs w:val="24"/>
        </w:rPr>
        <w:tab/>
        <w:t xml:space="preserve">Seasonal </w:t>
      </w:r>
      <w:r w:rsidR="0084082B">
        <w:rPr>
          <w:szCs w:val="24"/>
        </w:rPr>
        <w:t>Systems</w:t>
      </w:r>
    </w:p>
    <w:p w:rsidR="0097380A" w:rsidRDefault="0097380A" w:rsidP="0097380A">
      <w:pPr>
        <w:rPr>
          <w:szCs w:val="24"/>
        </w:rPr>
      </w:pPr>
    </w:p>
    <w:p w:rsidR="0097380A" w:rsidRDefault="0097380A" w:rsidP="0097380A">
      <w:pPr>
        <w:ind w:left="2880" w:hanging="720"/>
        <w:rPr>
          <w:szCs w:val="24"/>
        </w:rPr>
      </w:pPr>
      <w:r>
        <w:rPr>
          <w:szCs w:val="24"/>
        </w:rPr>
        <w:t>A)</w:t>
      </w:r>
      <w:r>
        <w:rPr>
          <w:szCs w:val="24"/>
        </w:rPr>
        <w:tab/>
        <w:t>A seasonal system supplier must demonstrate completion of an Agency-approved start-up procedure, which may include a requirement for start-up sampling prior to serving water to the public.</w:t>
      </w:r>
    </w:p>
    <w:p w:rsidR="0097380A" w:rsidRDefault="0097380A" w:rsidP="0097380A">
      <w:pPr>
        <w:rPr>
          <w:szCs w:val="24"/>
        </w:rPr>
      </w:pPr>
    </w:p>
    <w:p w:rsidR="0097380A" w:rsidRDefault="0097380A" w:rsidP="0097380A">
      <w:pPr>
        <w:ind w:left="2880" w:hanging="720"/>
        <w:rPr>
          <w:szCs w:val="24"/>
        </w:rPr>
      </w:pPr>
      <w:r>
        <w:rPr>
          <w:szCs w:val="24"/>
        </w:rPr>
        <w:t>B)</w:t>
      </w:r>
      <w:r>
        <w:rPr>
          <w:szCs w:val="24"/>
        </w:rPr>
        <w:tab/>
        <w:t>The Agency may, by a SEP, exempt any seasonal system supplier from some or all of the requirements for seasonal system suppliers if the supplier's entire distribution system remains pressurized during the entire period that the supplier's system is not operating.</w:t>
      </w:r>
    </w:p>
    <w:p w:rsidR="0097380A" w:rsidRDefault="0097380A" w:rsidP="0097380A">
      <w:pPr>
        <w:rPr>
          <w:szCs w:val="24"/>
        </w:rPr>
      </w:pPr>
    </w:p>
    <w:p w:rsidR="0097380A" w:rsidRDefault="0097380A" w:rsidP="0097380A">
      <w:pPr>
        <w:ind w:left="1440" w:hanging="720"/>
        <w:rPr>
          <w:szCs w:val="24"/>
        </w:rPr>
      </w:pPr>
      <w:r>
        <w:rPr>
          <w:szCs w:val="24"/>
        </w:rPr>
        <w:t>b)</w:t>
      </w:r>
      <w:r>
        <w:rPr>
          <w:szCs w:val="24"/>
        </w:rPr>
        <w:tab/>
      </w:r>
      <w:r>
        <w:rPr>
          <w:iCs/>
          <w:szCs w:val="24"/>
        </w:rPr>
        <w:t xml:space="preserve">Monitoring </w:t>
      </w:r>
      <w:r w:rsidR="0084082B">
        <w:rPr>
          <w:iCs/>
          <w:szCs w:val="24"/>
        </w:rPr>
        <w:t>Frequency</w:t>
      </w:r>
      <w:r>
        <w:rPr>
          <w:iCs/>
          <w:szCs w:val="24"/>
        </w:rPr>
        <w:t xml:space="preserve"> for </w:t>
      </w:r>
      <w:r w:rsidR="0084082B">
        <w:rPr>
          <w:iCs/>
          <w:szCs w:val="24"/>
        </w:rPr>
        <w:t>Total Coliforms</w:t>
      </w:r>
      <w:r>
        <w:rPr>
          <w:iCs/>
          <w:szCs w:val="24"/>
        </w:rPr>
        <w:t xml:space="preserve">.  </w:t>
      </w:r>
      <w:r>
        <w:rPr>
          <w:szCs w:val="24"/>
        </w:rPr>
        <w:t>The monitoring frequency for total coliforms is based on the population served by the supplier's system, as follows:</w:t>
      </w:r>
    </w:p>
    <w:p w:rsidR="0097380A" w:rsidRDefault="0097380A" w:rsidP="0097380A">
      <w:pPr>
        <w:rPr>
          <w:szCs w:val="24"/>
        </w:rPr>
      </w:pPr>
    </w:p>
    <w:p w:rsidR="0084082B" w:rsidRDefault="0084082B" w:rsidP="0097380A">
      <w:pPr>
        <w:ind w:left="2160"/>
        <w:jc w:val="center"/>
        <w:rPr>
          <w:szCs w:val="24"/>
        </w:rPr>
      </w:pPr>
      <w:r>
        <w:rPr>
          <w:szCs w:val="24"/>
        </w:rPr>
        <w:t>Total Coliform Monitoring Frequency for Public Wa</w:t>
      </w:r>
      <w:r w:rsidR="00530F2A">
        <w:rPr>
          <w:szCs w:val="24"/>
        </w:rPr>
        <w:t>t</w:t>
      </w:r>
      <w:r>
        <w:rPr>
          <w:szCs w:val="24"/>
        </w:rPr>
        <w:t xml:space="preserve">er Systems </w:t>
      </w:r>
    </w:p>
    <w:p w:rsidR="0084082B" w:rsidRDefault="0084082B" w:rsidP="0097380A">
      <w:pPr>
        <w:ind w:left="2160"/>
        <w:jc w:val="center"/>
        <w:rPr>
          <w:szCs w:val="24"/>
        </w:rPr>
      </w:pPr>
      <w:r>
        <w:rPr>
          <w:szCs w:val="24"/>
        </w:rPr>
        <w:t>Serving More Than 1,000 People</w:t>
      </w:r>
    </w:p>
    <w:p w:rsidR="0097380A" w:rsidRDefault="0097380A" w:rsidP="0097380A">
      <w:pPr>
        <w:rPr>
          <w:szCs w:val="24"/>
        </w:rPr>
      </w:pPr>
    </w:p>
    <w:tbl>
      <w:tblPr>
        <w:tblStyle w:val="TableGrid"/>
        <w:tblW w:w="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3600"/>
        <w:gridCol w:w="3600"/>
      </w:tblGrid>
      <w:tr w:rsidR="0097380A" w:rsidTr="0097380A">
        <w:tc>
          <w:tcPr>
            <w:tcW w:w="3600" w:type="dxa"/>
            <w:vAlign w:val="bottom"/>
            <w:hideMark/>
          </w:tcPr>
          <w:p w:rsidR="0097380A" w:rsidRDefault="0097380A">
            <w:pPr>
              <w:rPr>
                <w:szCs w:val="24"/>
              </w:rPr>
            </w:pPr>
            <w:r>
              <w:rPr>
                <w:szCs w:val="24"/>
              </w:rPr>
              <w:t>Population served</w:t>
            </w:r>
          </w:p>
        </w:tc>
        <w:tc>
          <w:tcPr>
            <w:tcW w:w="3600" w:type="dxa"/>
            <w:vAlign w:val="bottom"/>
            <w:hideMark/>
          </w:tcPr>
          <w:p w:rsidR="0097380A" w:rsidRDefault="0097380A">
            <w:pPr>
              <w:ind w:left="360" w:right="310"/>
              <w:jc w:val="center"/>
              <w:rPr>
                <w:szCs w:val="24"/>
              </w:rPr>
            </w:pPr>
            <w:r>
              <w:rPr>
                <w:szCs w:val="24"/>
              </w:rPr>
              <w:t>Minimum number of samples per month</w:t>
            </w:r>
          </w:p>
        </w:tc>
      </w:tr>
      <w:tr w:rsidR="0097380A" w:rsidTr="0097380A">
        <w:tc>
          <w:tcPr>
            <w:tcW w:w="3600" w:type="dxa"/>
            <w:hideMark/>
          </w:tcPr>
          <w:p w:rsidR="0097380A" w:rsidRDefault="0097380A">
            <w:pPr>
              <w:rPr>
                <w:szCs w:val="24"/>
              </w:rPr>
            </w:pPr>
            <w:r>
              <w:rPr>
                <w:szCs w:val="24"/>
              </w:rPr>
              <w:t>1,001 to 2,500</w:t>
            </w:r>
          </w:p>
        </w:tc>
        <w:tc>
          <w:tcPr>
            <w:tcW w:w="3600" w:type="dxa"/>
            <w:hideMark/>
          </w:tcPr>
          <w:p w:rsidR="0097380A" w:rsidRDefault="0097380A">
            <w:pPr>
              <w:jc w:val="center"/>
              <w:rPr>
                <w:szCs w:val="24"/>
              </w:rPr>
            </w:pPr>
            <w:r>
              <w:rPr>
                <w:szCs w:val="24"/>
              </w:rPr>
              <w:t>2</w:t>
            </w:r>
          </w:p>
        </w:tc>
      </w:tr>
      <w:tr w:rsidR="0097380A" w:rsidTr="0097380A">
        <w:tc>
          <w:tcPr>
            <w:tcW w:w="3600" w:type="dxa"/>
            <w:hideMark/>
          </w:tcPr>
          <w:p w:rsidR="0097380A" w:rsidRDefault="0097380A">
            <w:pPr>
              <w:rPr>
                <w:szCs w:val="24"/>
              </w:rPr>
            </w:pPr>
            <w:r>
              <w:rPr>
                <w:szCs w:val="24"/>
              </w:rPr>
              <w:t>2,501 to 3,300</w:t>
            </w:r>
          </w:p>
        </w:tc>
        <w:tc>
          <w:tcPr>
            <w:tcW w:w="3600" w:type="dxa"/>
            <w:hideMark/>
          </w:tcPr>
          <w:p w:rsidR="0097380A" w:rsidRDefault="0097380A">
            <w:pPr>
              <w:jc w:val="center"/>
              <w:rPr>
                <w:szCs w:val="24"/>
              </w:rPr>
            </w:pPr>
            <w:r>
              <w:rPr>
                <w:szCs w:val="24"/>
              </w:rPr>
              <w:t>3</w:t>
            </w:r>
          </w:p>
        </w:tc>
      </w:tr>
      <w:tr w:rsidR="0097380A" w:rsidTr="0097380A">
        <w:tc>
          <w:tcPr>
            <w:tcW w:w="3600" w:type="dxa"/>
            <w:hideMark/>
          </w:tcPr>
          <w:p w:rsidR="0097380A" w:rsidRDefault="0097380A">
            <w:pPr>
              <w:rPr>
                <w:szCs w:val="24"/>
              </w:rPr>
            </w:pPr>
            <w:r>
              <w:rPr>
                <w:szCs w:val="24"/>
              </w:rPr>
              <w:t>3,301 to 4,100</w:t>
            </w:r>
          </w:p>
        </w:tc>
        <w:tc>
          <w:tcPr>
            <w:tcW w:w="3600" w:type="dxa"/>
            <w:hideMark/>
          </w:tcPr>
          <w:p w:rsidR="0097380A" w:rsidRDefault="0097380A">
            <w:pPr>
              <w:jc w:val="center"/>
              <w:rPr>
                <w:szCs w:val="24"/>
              </w:rPr>
            </w:pPr>
            <w:r>
              <w:rPr>
                <w:szCs w:val="24"/>
              </w:rPr>
              <w:t>4</w:t>
            </w:r>
          </w:p>
        </w:tc>
      </w:tr>
      <w:tr w:rsidR="0097380A" w:rsidTr="0097380A">
        <w:tc>
          <w:tcPr>
            <w:tcW w:w="3600" w:type="dxa"/>
            <w:hideMark/>
          </w:tcPr>
          <w:p w:rsidR="0097380A" w:rsidRDefault="0097380A">
            <w:pPr>
              <w:rPr>
                <w:szCs w:val="24"/>
              </w:rPr>
            </w:pPr>
            <w:r>
              <w:rPr>
                <w:szCs w:val="24"/>
              </w:rPr>
              <w:lastRenderedPageBreak/>
              <w:t>4,101 to 4,900</w:t>
            </w:r>
          </w:p>
        </w:tc>
        <w:tc>
          <w:tcPr>
            <w:tcW w:w="3600" w:type="dxa"/>
            <w:hideMark/>
          </w:tcPr>
          <w:p w:rsidR="0097380A" w:rsidRDefault="0097380A">
            <w:pPr>
              <w:jc w:val="center"/>
              <w:rPr>
                <w:szCs w:val="24"/>
              </w:rPr>
            </w:pPr>
            <w:r>
              <w:rPr>
                <w:szCs w:val="24"/>
              </w:rPr>
              <w:t>5</w:t>
            </w:r>
          </w:p>
        </w:tc>
      </w:tr>
      <w:tr w:rsidR="0097380A" w:rsidTr="0097380A">
        <w:tc>
          <w:tcPr>
            <w:tcW w:w="3600" w:type="dxa"/>
            <w:hideMark/>
          </w:tcPr>
          <w:p w:rsidR="0097380A" w:rsidRDefault="0097380A">
            <w:pPr>
              <w:rPr>
                <w:szCs w:val="24"/>
              </w:rPr>
            </w:pPr>
            <w:r>
              <w:rPr>
                <w:szCs w:val="24"/>
              </w:rPr>
              <w:t>4,901 to 5,800</w:t>
            </w:r>
          </w:p>
        </w:tc>
        <w:tc>
          <w:tcPr>
            <w:tcW w:w="3600" w:type="dxa"/>
            <w:hideMark/>
          </w:tcPr>
          <w:p w:rsidR="0097380A" w:rsidRDefault="0097380A">
            <w:pPr>
              <w:jc w:val="center"/>
              <w:rPr>
                <w:szCs w:val="24"/>
              </w:rPr>
            </w:pPr>
            <w:r>
              <w:rPr>
                <w:szCs w:val="24"/>
              </w:rPr>
              <w:t>6</w:t>
            </w:r>
          </w:p>
        </w:tc>
      </w:tr>
      <w:tr w:rsidR="0097380A" w:rsidTr="0097380A">
        <w:tc>
          <w:tcPr>
            <w:tcW w:w="3600" w:type="dxa"/>
            <w:hideMark/>
          </w:tcPr>
          <w:p w:rsidR="0097380A" w:rsidRDefault="0097380A">
            <w:pPr>
              <w:rPr>
                <w:szCs w:val="24"/>
              </w:rPr>
            </w:pPr>
            <w:r>
              <w:rPr>
                <w:szCs w:val="24"/>
              </w:rPr>
              <w:t>5,801 to 6,700</w:t>
            </w:r>
          </w:p>
        </w:tc>
        <w:tc>
          <w:tcPr>
            <w:tcW w:w="3600" w:type="dxa"/>
            <w:hideMark/>
          </w:tcPr>
          <w:p w:rsidR="0097380A" w:rsidRDefault="0097380A">
            <w:pPr>
              <w:jc w:val="center"/>
              <w:rPr>
                <w:szCs w:val="24"/>
              </w:rPr>
            </w:pPr>
            <w:r>
              <w:rPr>
                <w:szCs w:val="24"/>
              </w:rPr>
              <w:t>7</w:t>
            </w:r>
          </w:p>
        </w:tc>
      </w:tr>
      <w:tr w:rsidR="0097380A" w:rsidTr="0097380A">
        <w:tc>
          <w:tcPr>
            <w:tcW w:w="3600" w:type="dxa"/>
            <w:hideMark/>
          </w:tcPr>
          <w:p w:rsidR="0097380A" w:rsidRDefault="0097380A">
            <w:pPr>
              <w:rPr>
                <w:szCs w:val="24"/>
              </w:rPr>
            </w:pPr>
            <w:r>
              <w:rPr>
                <w:szCs w:val="24"/>
              </w:rPr>
              <w:t>6,701 to 7,600</w:t>
            </w:r>
          </w:p>
        </w:tc>
        <w:tc>
          <w:tcPr>
            <w:tcW w:w="3600" w:type="dxa"/>
            <w:hideMark/>
          </w:tcPr>
          <w:p w:rsidR="0097380A" w:rsidRDefault="0097380A">
            <w:pPr>
              <w:jc w:val="center"/>
              <w:rPr>
                <w:szCs w:val="24"/>
              </w:rPr>
            </w:pPr>
            <w:r>
              <w:rPr>
                <w:szCs w:val="24"/>
              </w:rPr>
              <w:t>8</w:t>
            </w:r>
          </w:p>
        </w:tc>
      </w:tr>
      <w:tr w:rsidR="0097380A" w:rsidTr="0097380A">
        <w:tc>
          <w:tcPr>
            <w:tcW w:w="3600" w:type="dxa"/>
            <w:hideMark/>
          </w:tcPr>
          <w:p w:rsidR="0097380A" w:rsidRDefault="0097380A">
            <w:pPr>
              <w:rPr>
                <w:szCs w:val="24"/>
              </w:rPr>
            </w:pPr>
            <w:r>
              <w:rPr>
                <w:szCs w:val="24"/>
              </w:rPr>
              <w:t>7,601 to 8,500</w:t>
            </w:r>
          </w:p>
        </w:tc>
        <w:tc>
          <w:tcPr>
            <w:tcW w:w="3600" w:type="dxa"/>
            <w:hideMark/>
          </w:tcPr>
          <w:p w:rsidR="0097380A" w:rsidRDefault="0097380A">
            <w:pPr>
              <w:jc w:val="center"/>
              <w:rPr>
                <w:szCs w:val="24"/>
              </w:rPr>
            </w:pPr>
            <w:r>
              <w:rPr>
                <w:szCs w:val="24"/>
              </w:rPr>
              <w:t>9</w:t>
            </w:r>
          </w:p>
        </w:tc>
      </w:tr>
      <w:tr w:rsidR="0097380A" w:rsidTr="0097380A">
        <w:tc>
          <w:tcPr>
            <w:tcW w:w="3600" w:type="dxa"/>
            <w:hideMark/>
          </w:tcPr>
          <w:p w:rsidR="0097380A" w:rsidRDefault="0097380A">
            <w:pPr>
              <w:rPr>
                <w:szCs w:val="24"/>
              </w:rPr>
            </w:pPr>
            <w:r>
              <w:rPr>
                <w:szCs w:val="24"/>
              </w:rPr>
              <w:t>8,501 to 12,900</w:t>
            </w:r>
          </w:p>
        </w:tc>
        <w:tc>
          <w:tcPr>
            <w:tcW w:w="3600" w:type="dxa"/>
            <w:hideMark/>
          </w:tcPr>
          <w:p w:rsidR="0097380A" w:rsidRDefault="0097380A">
            <w:pPr>
              <w:jc w:val="center"/>
              <w:rPr>
                <w:szCs w:val="24"/>
              </w:rPr>
            </w:pPr>
            <w:r>
              <w:rPr>
                <w:szCs w:val="24"/>
              </w:rPr>
              <w:t>10</w:t>
            </w:r>
          </w:p>
        </w:tc>
      </w:tr>
      <w:tr w:rsidR="0097380A" w:rsidTr="0097380A">
        <w:tc>
          <w:tcPr>
            <w:tcW w:w="3600" w:type="dxa"/>
            <w:hideMark/>
          </w:tcPr>
          <w:p w:rsidR="0097380A" w:rsidRDefault="0097380A">
            <w:pPr>
              <w:rPr>
                <w:szCs w:val="24"/>
              </w:rPr>
            </w:pPr>
            <w:r>
              <w:rPr>
                <w:szCs w:val="24"/>
              </w:rPr>
              <w:t>12,901 to 17,200</w:t>
            </w:r>
          </w:p>
        </w:tc>
        <w:tc>
          <w:tcPr>
            <w:tcW w:w="3600" w:type="dxa"/>
            <w:hideMark/>
          </w:tcPr>
          <w:p w:rsidR="0097380A" w:rsidRDefault="0097380A">
            <w:pPr>
              <w:jc w:val="center"/>
              <w:rPr>
                <w:szCs w:val="24"/>
              </w:rPr>
            </w:pPr>
            <w:r>
              <w:rPr>
                <w:szCs w:val="24"/>
              </w:rPr>
              <w:t>15</w:t>
            </w:r>
          </w:p>
        </w:tc>
      </w:tr>
      <w:tr w:rsidR="0097380A" w:rsidTr="0097380A">
        <w:tc>
          <w:tcPr>
            <w:tcW w:w="3600" w:type="dxa"/>
            <w:hideMark/>
          </w:tcPr>
          <w:p w:rsidR="0097380A" w:rsidRDefault="0097380A">
            <w:pPr>
              <w:rPr>
                <w:szCs w:val="24"/>
              </w:rPr>
            </w:pPr>
            <w:r>
              <w:rPr>
                <w:szCs w:val="24"/>
              </w:rPr>
              <w:t>17,201 to 21,500</w:t>
            </w:r>
          </w:p>
        </w:tc>
        <w:tc>
          <w:tcPr>
            <w:tcW w:w="3600" w:type="dxa"/>
            <w:hideMark/>
          </w:tcPr>
          <w:p w:rsidR="0097380A" w:rsidRDefault="0097380A">
            <w:pPr>
              <w:jc w:val="center"/>
              <w:rPr>
                <w:szCs w:val="24"/>
              </w:rPr>
            </w:pPr>
            <w:r>
              <w:rPr>
                <w:szCs w:val="24"/>
              </w:rPr>
              <w:t>20</w:t>
            </w:r>
          </w:p>
        </w:tc>
      </w:tr>
      <w:tr w:rsidR="0097380A" w:rsidTr="0097380A">
        <w:tc>
          <w:tcPr>
            <w:tcW w:w="3600" w:type="dxa"/>
            <w:hideMark/>
          </w:tcPr>
          <w:p w:rsidR="0097380A" w:rsidRDefault="0097380A">
            <w:pPr>
              <w:rPr>
                <w:szCs w:val="24"/>
              </w:rPr>
            </w:pPr>
            <w:r>
              <w:rPr>
                <w:szCs w:val="24"/>
              </w:rPr>
              <w:t>21,501 to 25,000</w:t>
            </w:r>
          </w:p>
        </w:tc>
        <w:tc>
          <w:tcPr>
            <w:tcW w:w="3600" w:type="dxa"/>
            <w:hideMark/>
          </w:tcPr>
          <w:p w:rsidR="0097380A" w:rsidRDefault="0097380A">
            <w:pPr>
              <w:jc w:val="center"/>
              <w:rPr>
                <w:szCs w:val="24"/>
              </w:rPr>
            </w:pPr>
            <w:r>
              <w:rPr>
                <w:szCs w:val="24"/>
              </w:rPr>
              <w:t>25</w:t>
            </w:r>
          </w:p>
        </w:tc>
      </w:tr>
      <w:tr w:rsidR="0097380A" w:rsidTr="0097380A">
        <w:tc>
          <w:tcPr>
            <w:tcW w:w="3600" w:type="dxa"/>
            <w:hideMark/>
          </w:tcPr>
          <w:p w:rsidR="0097380A" w:rsidRDefault="0097380A">
            <w:pPr>
              <w:rPr>
                <w:szCs w:val="24"/>
              </w:rPr>
            </w:pPr>
            <w:r>
              <w:rPr>
                <w:szCs w:val="24"/>
              </w:rPr>
              <w:t>25,001 to 33,000</w:t>
            </w:r>
          </w:p>
        </w:tc>
        <w:tc>
          <w:tcPr>
            <w:tcW w:w="3600" w:type="dxa"/>
            <w:hideMark/>
          </w:tcPr>
          <w:p w:rsidR="0097380A" w:rsidRDefault="0097380A">
            <w:pPr>
              <w:jc w:val="center"/>
              <w:rPr>
                <w:szCs w:val="24"/>
              </w:rPr>
            </w:pPr>
            <w:r>
              <w:rPr>
                <w:szCs w:val="24"/>
              </w:rPr>
              <w:t>30</w:t>
            </w:r>
          </w:p>
        </w:tc>
      </w:tr>
      <w:tr w:rsidR="0097380A" w:rsidTr="0097380A">
        <w:tc>
          <w:tcPr>
            <w:tcW w:w="3600" w:type="dxa"/>
            <w:hideMark/>
          </w:tcPr>
          <w:p w:rsidR="0097380A" w:rsidRDefault="0097380A">
            <w:pPr>
              <w:rPr>
                <w:szCs w:val="24"/>
              </w:rPr>
            </w:pPr>
            <w:r>
              <w:rPr>
                <w:szCs w:val="24"/>
              </w:rPr>
              <w:t>33,001 to 41,000</w:t>
            </w:r>
          </w:p>
        </w:tc>
        <w:tc>
          <w:tcPr>
            <w:tcW w:w="3600" w:type="dxa"/>
            <w:hideMark/>
          </w:tcPr>
          <w:p w:rsidR="0097380A" w:rsidRDefault="0097380A">
            <w:pPr>
              <w:jc w:val="center"/>
              <w:rPr>
                <w:szCs w:val="24"/>
              </w:rPr>
            </w:pPr>
            <w:r>
              <w:rPr>
                <w:szCs w:val="24"/>
              </w:rPr>
              <w:t>40</w:t>
            </w:r>
          </w:p>
        </w:tc>
      </w:tr>
      <w:tr w:rsidR="0097380A" w:rsidTr="0097380A">
        <w:tc>
          <w:tcPr>
            <w:tcW w:w="3600" w:type="dxa"/>
            <w:hideMark/>
          </w:tcPr>
          <w:p w:rsidR="0097380A" w:rsidRDefault="0097380A">
            <w:pPr>
              <w:rPr>
                <w:szCs w:val="24"/>
              </w:rPr>
            </w:pPr>
            <w:r>
              <w:rPr>
                <w:szCs w:val="24"/>
              </w:rPr>
              <w:t>41,001 to 50,000</w:t>
            </w:r>
          </w:p>
        </w:tc>
        <w:tc>
          <w:tcPr>
            <w:tcW w:w="3600" w:type="dxa"/>
            <w:hideMark/>
          </w:tcPr>
          <w:p w:rsidR="0097380A" w:rsidRDefault="0097380A">
            <w:pPr>
              <w:jc w:val="center"/>
              <w:rPr>
                <w:szCs w:val="24"/>
              </w:rPr>
            </w:pPr>
            <w:r>
              <w:rPr>
                <w:szCs w:val="24"/>
              </w:rPr>
              <w:t>50</w:t>
            </w:r>
          </w:p>
        </w:tc>
      </w:tr>
      <w:tr w:rsidR="0097380A" w:rsidTr="0097380A">
        <w:tc>
          <w:tcPr>
            <w:tcW w:w="3600" w:type="dxa"/>
            <w:hideMark/>
          </w:tcPr>
          <w:p w:rsidR="0097380A" w:rsidRDefault="0097380A">
            <w:pPr>
              <w:rPr>
                <w:szCs w:val="24"/>
              </w:rPr>
            </w:pPr>
            <w:r>
              <w:rPr>
                <w:szCs w:val="24"/>
              </w:rPr>
              <w:t>50,001 to 59,000</w:t>
            </w:r>
          </w:p>
        </w:tc>
        <w:tc>
          <w:tcPr>
            <w:tcW w:w="3600" w:type="dxa"/>
            <w:hideMark/>
          </w:tcPr>
          <w:p w:rsidR="0097380A" w:rsidRDefault="0097380A">
            <w:pPr>
              <w:jc w:val="center"/>
              <w:rPr>
                <w:szCs w:val="24"/>
              </w:rPr>
            </w:pPr>
            <w:r>
              <w:rPr>
                <w:szCs w:val="24"/>
              </w:rPr>
              <w:t>60</w:t>
            </w:r>
          </w:p>
        </w:tc>
      </w:tr>
      <w:tr w:rsidR="0097380A" w:rsidTr="0097380A">
        <w:tc>
          <w:tcPr>
            <w:tcW w:w="3600" w:type="dxa"/>
            <w:hideMark/>
          </w:tcPr>
          <w:p w:rsidR="0097380A" w:rsidRDefault="0097380A">
            <w:pPr>
              <w:rPr>
                <w:szCs w:val="24"/>
              </w:rPr>
            </w:pPr>
            <w:r>
              <w:rPr>
                <w:szCs w:val="24"/>
              </w:rPr>
              <w:t>59,001 to 70,000</w:t>
            </w:r>
          </w:p>
        </w:tc>
        <w:tc>
          <w:tcPr>
            <w:tcW w:w="3600" w:type="dxa"/>
            <w:hideMark/>
          </w:tcPr>
          <w:p w:rsidR="0097380A" w:rsidRDefault="0097380A">
            <w:pPr>
              <w:jc w:val="center"/>
              <w:rPr>
                <w:szCs w:val="24"/>
              </w:rPr>
            </w:pPr>
            <w:r>
              <w:rPr>
                <w:szCs w:val="24"/>
              </w:rPr>
              <w:t>70</w:t>
            </w:r>
          </w:p>
        </w:tc>
      </w:tr>
      <w:tr w:rsidR="0097380A" w:rsidTr="0097380A">
        <w:tc>
          <w:tcPr>
            <w:tcW w:w="3600" w:type="dxa"/>
            <w:hideMark/>
          </w:tcPr>
          <w:p w:rsidR="0097380A" w:rsidRDefault="0097380A">
            <w:pPr>
              <w:rPr>
                <w:szCs w:val="24"/>
              </w:rPr>
            </w:pPr>
            <w:r>
              <w:rPr>
                <w:szCs w:val="24"/>
              </w:rPr>
              <w:t>70,001 to 83,000</w:t>
            </w:r>
          </w:p>
        </w:tc>
        <w:tc>
          <w:tcPr>
            <w:tcW w:w="3600" w:type="dxa"/>
            <w:hideMark/>
          </w:tcPr>
          <w:p w:rsidR="0097380A" w:rsidRDefault="0097380A">
            <w:pPr>
              <w:jc w:val="center"/>
              <w:rPr>
                <w:szCs w:val="24"/>
              </w:rPr>
            </w:pPr>
            <w:r>
              <w:rPr>
                <w:szCs w:val="24"/>
              </w:rPr>
              <w:t>80</w:t>
            </w:r>
          </w:p>
        </w:tc>
      </w:tr>
      <w:tr w:rsidR="0097380A" w:rsidTr="0097380A">
        <w:tc>
          <w:tcPr>
            <w:tcW w:w="3600" w:type="dxa"/>
            <w:hideMark/>
          </w:tcPr>
          <w:p w:rsidR="0097380A" w:rsidRDefault="0097380A">
            <w:pPr>
              <w:rPr>
                <w:szCs w:val="24"/>
              </w:rPr>
            </w:pPr>
            <w:r>
              <w:rPr>
                <w:szCs w:val="24"/>
              </w:rPr>
              <w:t>83,001 to 96,000</w:t>
            </w:r>
          </w:p>
        </w:tc>
        <w:tc>
          <w:tcPr>
            <w:tcW w:w="3600" w:type="dxa"/>
            <w:hideMark/>
          </w:tcPr>
          <w:p w:rsidR="0097380A" w:rsidRDefault="0097380A">
            <w:pPr>
              <w:jc w:val="center"/>
              <w:rPr>
                <w:szCs w:val="24"/>
              </w:rPr>
            </w:pPr>
            <w:r>
              <w:rPr>
                <w:szCs w:val="24"/>
              </w:rPr>
              <w:t>90</w:t>
            </w:r>
          </w:p>
        </w:tc>
      </w:tr>
      <w:tr w:rsidR="0097380A" w:rsidTr="0097380A">
        <w:tc>
          <w:tcPr>
            <w:tcW w:w="3600" w:type="dxa"/>
            <w:hideMark/>
          </w:tcPr>
          <w:p w:rsidR="0097380A" w:rsidRDefault="0097380A">
            <w:pPr>
              <w:rPr>
                <w:szCs w:val="24"/>
              </w:rPr>
            </w:pPr>
            <w:r>
              <w:rPr>
                <w:szCs w:val="24"/>
              </w:rPr>
              <w:t>96,001 to 130,000</w:t>
            </w:r>
          </w:p>
        </w:tc>
        <w:tc>
          <w:tcPr>
            <w:tcW w:w="3600" w:type="dxa"/>
            <w:hideMark/>
          </w:tcPr>
          <w:p w:rsidR="0097380A" w:rsidRDefault="0097380A">
            <w:pPr>
              <w:jc w:val="center"/>
              <w:rPr>
                <w:szCs w:val="24"/>
              </w:rPr>
            </w:pPr>
            <w:r>
              <w:rPr>
                <w:szCs w:val="24"/>
              </w:rPr>
              <w:t>100</w:t>
            </w:r>
          </w:p>
        </w:tc>
      </w:tr>
      <w:tr w:rsidR="0097380A" w:rsidTr="0097380A">
        <w:tc>
          <w:tcPr>
            <w:tcW w:w="3600" w:type="dxa"/>
            <w:hideMark/>
          </w:tcPr>
          <w:p w:rsidR="0097380A" w:rsidRDefault="0097380A">
            <w:pPr>
              <w:rPr>
                <w:szCs w:val="24"/>
              </w:rPr>
            </w:pPr>
            <w:r>
              <w:rPr>
                <w:szCs w:val="24"/>
              </w:rPr>
              <w:t>130,001 to 220,000</w:t>
            </w:r>
          </w:p>
        </w:tc>
        <w:tc>
          <w:tcPr>
            <w:tcW w:w="3600" w:type="dxa"/>
            <w:hideMark/>
          </w:tcPr>
          <w:p w:rsidR="0097380A" w:rsidRDefault="0097380A">
            <w:pPr>
              <w:jc w:val="center"/>
              <w:rPr>
                <w:szCs w:val="24"/>
              </w:rPr>
            </w:pPr>
            <w:r>
              <w:rPr>
                <w:szCs w:val="24"/>
              </w:rPr>
              <w:t>120</w:t>
            </w:r>
          </w:p>
        </w:tc>
      </w:tr>
      <w:tr w:rsidR="0097380A" w:rsidTr="0097380A">
        <w:tc>
          <w:tcPr>
            <w:tcW w:w="3600" w:type="dxa"/>
            <w:hideMark/>
          </w:tcPr>
          <w:p w:rsidR="0097380A" w:rsidRDefault="0097380A">
            <w:pPr>
              <w:rPr>
                <w:szCs w:val="24"/>
              </w:rPr>
            </w:pPr>
            <w:r>
              <w:rPr>
                <w:szCs w:val="24"/>
              </w:rPr>
              <w:t>220,001 to 320,000</w:t>
            </w:r>
          </w:p>
        </w:tc>
        <w:tc>
          <w:tcPr>
            <w:tcW w:w="3600" w:type="dxa"/>
            <w:hideMark/>
          </w:tcPr>
          <w:p w:rsidR="0097380A" w:rsidRDefault="0097380A">
            <w:pPr>
              <w:jc w:val="center"/>
              <w:rPr>
                <w:szCs w:val="24"/>
              </w:rPr>
            </w:pPr>
            <w:r>
              <w:rPr>
                <w:szCs w:val="24"/>
              </w:rPr>
              <w:t>150</w:t>
            </w:r>
          </w:p>
        </w:tc>
      </w:tr>
      <w:tr w:rsidR="0097380A" w:rsidTr="0097380A">
        <w:tc>
          <w:tcPr>
            <w:tcW w:w="3600" w:type="dxa"/>
            <w:hideMark/>
          </w:tcPr>
          <w:p w:rsidR="0097380A" w:rsidRDefault="0097380A">
            <w:pPr>
              <w:rPr>
                <w:szCs w:val="24"/>
              </w:rPr>
            </w:pPr>
            <w:r>
              <w:rPr>
                <w:szCs w:val="24"/>
              </w:rPr>
              <w:t>320,001 to 450,000</w:t>
            </w:r>
          </w:p>
        </w:tc>
        <w:tc>
          <w:tcPr>
            <w:tcW w:w="3600" w:type="dxa"/>
            <w:hideMark/>
          </w:tcPr>
          <w:p w:rsidR="0097380A" w:rsidRDefault="0097380A">
            <w:pPr>
              <w:jc w:val="center"/>
              <w:rPr>
                <w:szCs w:val="24"/>
              </w:rPr>
            </w:pPr>
            <w:r>
              <w:rPr>
                <w:szCs w:val="24"/>
              </w:rPr>
              <w:t>180</w:t>
            </w:r>
          </w:p>
        </w:tc>
      </w:tr>
      <w:tr w:rsidR="0097380A" w:rsidTr="0097380A">
        <w:tc>
          <w:tcPr>
            <w:tcW w:w="3600" w:type="dxa"/>
            <w:hideMark/>
          </w:tcPr>
          <w:p w:rsidR="0097380A" w:rsidRDefault="0097380A">
            <w:pPr>
              <w:rPr>
                <w:szCs w:val="24"/>
              </w:rPr>
            </w:pPr>
            <w:r>
              <w:rPr>
                <w:szCs w:val="24"/>
              </w:rPr>
              <w:t>450,001 to 600,000</w:t>
            </w:r>
          </w:p>
        </w:tc>
        <w:tc>
          <w:tcPr>
            <w:tcW w:w="3600" w:type="dxa"/>
            <w:hideMark/>
          </w:tcPr>
          <w:p w:rsidR="0097380A" w:rsidRDefault="0097380A">
            <w:pPr>
              <w:jc w:val="center"/>
              <w:rPr>
                <w:szCs w:val="24"/>
              </w:rPr>
            </w:pPr>
            <w:r>
              <w:rPr>
                <w:szCs w:val="24"/>
              </w:rPr>
              <w:t>210</w:t>
            </w:r>
          </w:p>
        </w:tc>
      </w:tr>
      <w:tr w:rsidR="0097380A" w:rsidTr="0097380A">
        <w:tc>
          <w:tcPr>
            <w:tcW w:w="3600" w:type="dxa"/>
            <w:hideMark/>
          </w:tcPr>
          <w:p w:rsidR="0097380A" w:rsidRDefault="0097380A">
            <w:pPr>
              <w:rPr>
                <w:szCs w:val="24"/>
              </w:rPr>
            </w:pPr>
            <w:r>
              <w:rPr>
                <w:szCs w:val="24"/>
              </w:rPr>
              <w:t>600,001 to 780,000</w:t>
            </w:r>
          </w:p>
        </w:tc>
        <w:tc>
          <w:tcPr>
            <w:tcW w:w="3600" w:type="dxa"/>
            <w:hideMark/>
          </w:tcPr>
          <w:p w:rsidR="0097380A" w:rsidRDefault="0097380A">
            <w:pPr>
              <w:jc w:val="center"/>
              <w:rPr>
                <w:szCs w:val="24"/>
              </w:rPr>
            </w:pPr>
            <w:r>
              <w:rPr>
                <w:szCs w:val="24"/>
              </w:rPr>
              <w:t>240</w:t>
            </w:r>
          </w:p>
        </w:tc>
      </w:tr>
      <w:tr w:rsidR="0097380A" w:rsidTr="0097380A">
        <w:tc>
          <w:tcPr>
            <w:tcW w:w="3600" w:type="dxa"/>
            <w:hideMark/>
          </w:tcPr>
          <w:p w:rsidR="0097380A" w:rsidRDefault="0097380A">
            <w:pPr>
              <w:rPr>
                <w:szCs w:val="24"/>
              </w:rPr>
            </w:pPr>
            <w:r>
              <w:rPr>
                <w:szCs w:val="24"/>
              </w:rPr>
              <w:t>780,001 to 970,000</w:t>
            </w:r>
          </w:p>
        </w:tc>
        <w:tc>
          <w:tcPr>
            <w:tcW w:w="3600" w:type="dxa"/>
            <w:hideMark/>
          </w:tcPr>
          <w:p w:rsidR="0097380A" w:rsidRDefault="0097380A">
            <w:pPr>
              <w:jc w:val="center"/>
              <w:rPr>
                <w:szCs w:val="24"/>
              </w:rPr>
            </w:pPr>
            <w:r>
              <w:rPr>
                <w:szCs w:val="24"/>
              </w:rPr>
              <w:t>270</w:t>
            </w:r>
          </w:p>
        </w:tc>
      </w:tr>
      <w:tr w:rsidR="0097380A" w:rsidTr="0097380A">
        <w:tc>
          <w:tcPr>
            <w:tcW w:w="3600" w:type="dxa"/>
            <w:hideMark/>
          </w:tcPr>
          <w:p w:rsidR="0097380A" w:rsidRDefault="0097380A">
            <w:pPr>
              <w:rPr>
                <w:szCs w:val="24"/>
              </w:rPr>
            </w:pPr>
            <w:r>
              <w:rPr>
                <w:szCs w:val="24"/>
              </w:rPr>
              <w:t>970,001 to 1,230,000</w:t>
            </w:r>
          </w:p>
        </w:tc>
        <w:tc>
          <w:tcPr>
            <w:tcW w:w="3600" w:type="dxa"/>
            <w:hideMark/>
          </w:tcPr>
          <w:p w:rsidR="0097380A" w:rsidRDefault="0097380A">
            <w:pPr>
              <w:jc w:val="center"/>
              <w:rPr>
                <w:szCs w:val="24"/>
              </w:rPr>
            </w:pPr>
            <w:r>
              <w:rPr>
                <w:szCs w:val="24"/>
              </w:rPr>
              <w:t>300</w:t>
            </w:r>
          </w:p>
        </w:tc>
      </w:tr>
      <w:tr w:rsidR="0097380A" w:rsidTr="0097380A">
        <w:tc>
          <w:tcPr>
            <w:tcW w:w="3600" w:type="dxa"/>
            <w:hideMark/>
          </w:tcPr>
          <w:p w:rsidR="0097380A" w:rsidRDefault="0097380A">
            <w:pPr>
              <w:rPr>
                <w:szCs w:val="24"/>
              </w:rPr>
            </w:pPr>
            <w:r>
              <w:rPr>
                <w:szCs w:val="24"/>
              </w:rPr>
              <w:t>1,230,001 to 1,520,000</w:t>
            </w:r>
          </w:p>
        </w:tc>
        <w:tc>
          <w:tcPr>
            <w:tcW w:w="3600" w:type="dxa"/>
            <w:hideMark/>
          </w:tcPr>
          <w:p w:rsidR="0097380A" w:rsidRDefault="0097380A">
            <w:pPr>
              <w:jc w:val="center"/>
              <w:rPr>
                <w:szCs w:val="24"/>
              </w:rPr>
            </w:pPr>
            <w:r>
              <w:rPr>
                <w:szCs w:val="24"/>
              </w:rPr>
              <w:t>330</w:t>
            </w:r>
          </w:p>
        </w:tc>
      </w:tr>
      <w:tr w:rsidR="0097380A" w:rsidTr="0097380A">
        <w:tc>
          <w:tcPr>
            <w:tcW w:w="3600" w:type="dxa"/>
            <w:hideMark/>
          </w:tcPr>
          <w:p w:rsidR="0097380A" w:rsidRDefault="0097380A">
            <w:pPr>
              <w:rPr>
                <w:szCs w:val="24"/>
              </w:rPr>
            </w:pPr>
            <w:r>
              <w:rPr>
                <w:szCs w:val="24"/>
              </w:rPr>
              <w:lastRenderedPageBreak/>
              <w:t>1,520,001 to 1,850,000</w:t>
            </w:r>
          </w:p>
        </w:tc>
        <w:tc>
          <w:tcPr>
            <w:tcW w:w="3600" w:type="dxa"/>
            <w:hideMark/>
          </w:tcPr>
          <w:p w:rsidR="0097380A" w:rsidRDefault="0097380A">
            <w:pPr>
              <w:jc w:val="center"/>
              <w:rPr>
                <w:szCs w:val="24"/>
              </w:rPr>
            </w:pPr>
            <w:r>
              <w:rPr>
                <w:szCs w:val="24"/>
              </w:rPr>
              <w:t>360</w:t>
            </w:r>
          </w:p>
        </w:tc>
      </w:tr>
      <w:tr w:rsidR="0097380A" w:rsidTr="0097380A">
        <w:tc>
          <w:tcPr>
            <w:tcW w:w="3600" w:type="dxa"/>
            <w:hideMark/>
          </w:tcPr>
          <w:p w:rsidR="0097380A" w:rsidRDefault="0097380A">
            <w:pPr>
              <w:rPr>
                <w:szCs w:val="24"/>
              </w:rPr>
            </w:pPr>
            <w:r>
              <w:rPr>
                <w:szCs w:val="24"/>
              </w:rPr>
              <w:t>1,850,001 to 2,270,000</w:t>
            </w:r>
          </w:p>
        </w:tc>
        <w:tc>
          <w:tcPr>
            <w:tcW w:w="3600" w:type="dxa"/>
            <w:hideMark/>
          </w:tcPr>
          <w:p w:rsidR="0097380A" w:rsidRDefault="0097380A">
            <w:pPr>
              <w:jc w:val="center"/>
              <w:rPr>
                <w:szCs w:val="24"/>
              </w:rPr>
            </w:pPr>
            <w:r>
              <w:rPr>
                <w:szCs w:val="24"/>
              </w:rPr>
              <w:t>390</w:t>
            </w:r>
          </w:p>
        </w:tc>
      </w:tr>
      <w:tr w:rsidR="0097380A" w:rsidTr="0097380A">
        <w:tc>
          <w:tcPr>
            <w:tcW w:w="3600" w:type="dxa"/>
            <w:hideMark/>
          </w:tcPr>
          <w:p w:rsidR="0097380A" w:rsidRDefault="0097380A">
            <w:pPr>
              <w:rPr>
                <w:szCs w:val="24"/>
              </w:rPr>
            </w:pPr>
            <w:r>
              <w:rPr>
                <w:szCs w:val="24"/>
              </w:rPr>
              <w:t>2,270,001 to 3,020,000</w:t>
            </w:r>
          </w:p>
        </w:tc>
        <w:tc>
          <w:tcPr>
            <w:tcW w:w="3600" w:type="dxa"/>
            <w:hideMark/>
          </w:tcPr>
          <w:p w:rsidR="0097380A" w:rsidRDefault="0097380A">
            <w:pPr>
              <w:jc w:val="center"/>
              <w:rPr>
                <w:szCs w:val="24"/>
              </w:rPr>
            </w:pPr>
            <w:r>
              <w:rPr>
                <w:szCs w:val="24"/>
              </w:rPr>
              <w:t>420</w:t>
            </w:r>
          </w:p>
        </w:tc>
      </w:tr>
      <w:tr w:rsidR="0097380A" w:rsidTr="0097380A">
        <w:tc>
          <w:tcPr>
            <w:tcW w:w="3600" w:type="dxa"/>
            <w:hideMark/>
          </w:tcPr>
          <w:p w:rsidR="0097380A" w:rsidRDefault="0097380A">
            <w:pPr>
              <w:rPr>
                <w:szCs w:val="24"/>
              </w:rPr>
            </w:pPr>
            <w:r>
              <w:rPr>
                <w:szCs w:val="24"/>
              </w:rPr>
              <w:t>3,020,001 to 3,960,000</w:t>
            </w:r>
          </w:p>
        </w:tc>
        <w:tc>
          <w:tcPr>
            <w:tcW w:w="3600" w:type="dxa"/>
            <w:hideMark/>
          </w:tcPr>
          <w:p w:rsidR="0097380A" w:rsidRDefault="0097380A">
            <w:pPr>
              <w:jc w:val="center"/>
              <w:rPr>
                <w:szCs w:val="24"/>
              </w:rPr>
            </w:pPr>
            <w:r>
              <w:rPr>
                <w:szCs w:val="24"/>
              </w:rPr>
              <w:t>450</w:t>
            </w:r>
          </w:p>
        </w:tc>
      </w:tr>
      <w:tr w:rsidR="0097380A" w:rsidTr="0097380A">
        <w:tc>
          <w:tcPr>
            <w:tcW w:w="3600" w:type="dxa"/>
            <w:hideMark/>
          </w:tcPr>
          <w:p w:rsidR="0097380A" w:rsidRDefault="0097380A">
            <w:pPr>
              <w:rPr>
                <w:szCs w:val="24"/>
              </w:rPr>
            </w:pPr>
            <w:r>
              <w:rPr>
                <w:szCs w:val="24"/>
              </w:rPr>
              <w:t>3,960,001 or more</w:t>
            </w:r>
          </w:p>
        </w:tc>
        <w:tc>
          <w:tcPr>
            <w:tcW w:w="3600" w:type="dxa"/>
            <w:hideMark/>
          </w:tcPr>
          <w:p w:rsidR="0097380A" w:rsidRDefault="0097380A">
            <w:pPr>
              <w:jc w:val="center"/>
              <w:rPr>
                <w:szCs w:val="24"/>
              </w:rPr>
            </w:pPr>
            <w:r>
              <w:rPr>
                <w:szCs w:val="24"/>
              </w:rPr>
              <w:t>480</w:t>
            </w:r>
          </w:p>
        </w:tc>
      </w:tr>
    </w:tbl>
    <w:p w:rsidR="0097380A" w:rsidRDefault="0097380A" w:rsidP="0097380A">
      <w:pPr>
        <w:rPr>
          <w:szCs w:val="24"/>
        </w:rPr>
      </w:pPr>
    </w:p>
    <w:p w:rsidR="0097380A" w:rsidRDefault="0097380A" w:rsidP="0097380A">
      <w:pPr>
        <w:ind w:left="1440" w:hanging="720"/>
        <w:rPr>
          <w:szCs w:val="24"/>
        </w:rPr>
      </w:pPr>
      <w:r>
        <w:rPr>
          <w:szCs w:val="24"/>
        </w:rPr>
        <w:t>c)</w:t>
      </w:r>
      <w:r>
        <w:rPr>
          <w:szCs w:val="24"/>
        </w:rPr>
        <w:tab/>
      </w:r>
      <w:r>
        <w:rPr>
          <w:iCs/>
          <w:szCs w:val="24"/>
        </w:rPr>
        <w:t xml:space="preserve">Unfiltered </w:t>
      </w:r>
      <w:r>
        <w:rPr>
          <w:szCs w:val="24"/>
        </w:rPr>
        <w:t>S</w:t>
      </w:r>
      <w:r>
        <w:rPr>
          <w:iCs/>
          <w:szCs w:val="24"/>
        </w:rPr>
        <w:t xml:space="preserve">ubpart B </w:t>
      </w:r>
      <w:r w:rsidR="0084082B">
        <w:rPr>
          <w:iCs/>
          <w:szCs w:val="24"/>
        </w:rPr>
        <w:t>Systems</w:t>
      </w:r>
      <w:r>
        <w:rPr>
          <w:iCs/>
          <w:szCs w:val="24"/>
        </w:rPr>
        <w:t xml:space="preserve">.  </w:t>
      </w:r>
      <w:r>
        <w:rPr>
          <w:szCs w:val="24"/>
        </w:rPr>
        <w:t xml:space="preserve">A </w:t>
      </w:r>
      <w:r>
        <w:rPr>
          <w:iCs/>
          <w:szCs w:val="24"/>
        </w:rPr>
        <w:t>Subpart B system</w:t>
      </w:r>
      <w:r>
        <w:rPr>
          <w:szCs w:val="24"/>
        </w:rPr>
        <w:t xml:space="preserve"> supplier that does not practice filtration in compliance with Subparts B, R, X, and Z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after the first exceedance, unless the Agency determines that the supplier, for logistical reasons outside the supplier's control, cannot have the sample analyzed within 30 hours after collection, and the Agency identifies an alternative sample collection schedule.  Sample results from this coliform monitoring must be included in determining whether the coliform treatment technique trigger in Section 611.1059 has been exceeded.</w:t>
      </w:r>
    </w:p>
    <w:p w:rsidR="0097380A" w:rsidRDefault="0097380A" w:rsidP="0097380A">
      <w:pPr>
        <w:rPr>
          <w:szCs w:val="24"/>
        </w:rPr>
      </w:pPr>
    </w:p>
    <w:p w:rsidR="0097380A" w:rsidRDefault="0097380A" w:rsidP="0097380A">
      <w:pPr>
        <w:ind w:left="1440" w:hanging="720"/>
        <w:rPr>
          <w:szCs w:val="24"/>
        </w:rPr>
      </w:pPr>
      <w:r>
        <w:rPr>
          <w:szCs w:val="24"/>
        </w:rPr>
        <w:t>d)</w:t>
      </w:r>
      <w:r>
        <w:rPr>
          <w:szCs w:val="24"/>
        </w:rPr>
        <w:tab/>
      </w:r>
      <w:r>
        <w:rPr>
          <w:iCs/>
          <w:szCs w:val="24"/>
        </w:rPr>
        <w:t xml:space="preserve">Reduced </w:t>
      </w:r>
      <w:r w:rsidR="0084082B">
        <w:rPr>
          <w:iCs/>
          <w:szCs w:val="24"/>
        </w:rPr>
        <w:t>Monitoring</w:t>
      </w:r>
      <w:r>
        <w:rPr>
          <w:iCs/>
          <w:szCs w:val="24"/>
        </w:rPr>
        <w:t xml:space="preserve">.  </w:t>
      </w:r>
      <w:r>
        <w:rPr>
          <w:szCs w:val="24"/>
        </w:rPr>
        <w:t>A supplier may not reduce monitoring, except for a non-CWS supplier that uses only ground water (and not ground water under the direct influence of surface water) and which serves 1,000 or fewer people in some months and more than 1,000 persons in other months.  In months when more than 1,000 persons are served, the supplier must monitor at the frequency specified in subsection (a).  In months when the supplier serves 1,000 or fewer people, the Agency may, by a SEP, reduce the monitoring frequency, in writing, to a frequency allowed under Section 611.1054 for a similarly situated supplier that always serves 1,000 or fewer people, taking into account the provisions in Section 611.1054(e) through (g).</w:t>
      </w:r>
    </w:p>
    <w:p w:rsidR="0097380A" w:rsidRDefault="0097380A" w:rsidP="0097380A"/>
    <w:p w:rsidR="0097380A" w:rsidRDefault="0097380A" w:rsidP="0097380A">
      <w:pPr>
        <w:ind w:firstLine="720"/>
      </w:pPr>
      <w:r>
        <w:t>BOARD NOTE:  Derived from 40 CFR 141.857.</w:t>
      </w:r>
    </w:p>
    <w:p w:rsidR="0097380A" w:rsidRDefault="0097380A" w:rsidP="0097380A">
      <w:pPr>
        <w:pStyle w:val="JCARSourceNote"/>
      </w:pPr>
    </w:p>
    <w:p w:rsidR="003740EB" w:rsidRDefault="003740EB" w:rsidP="003740EB">
      <w:pPr>
        <w:pStyle w:val="JCARSourceNote"/>
        <w:ind w:left="720"/>
      </w:pPr>
      <w:r>
        <w:t xml:space="preserve">(Source:  Amended at 44 Ill. Reg. </w:t>
      </w:r>
      <w:r w:rsidR="00EF43DB">
        <w:t>6996</w:t>
      </w:r>
      <w:r>
        <w:t xml:space="preserve">, effective </w:t>
      </w:r>
      <w:bookmarkStart w:id="0" w:name="_GoBack"/>
      <w:r w:rsidR="00EF43DB">
        <w:t>April 17, 2020</w:t>
      </w:r>
      <w:bookmarkEnd w:id="0"/>
      <w:r>
        <w:t>)</w:t>
      </w:r>
    </w:p>
    <w:sectPr w:rsidR="003740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14" w:rsidRDefault="00877614">
      <w:r>
        <w:separator/>
      </w:r>
    </w:p>
  </w:endnote>
  <w:endnote w:type="continuationSeparator" w:id="0">
    <w:p w:rsidR="00877614" w:rsidRDefault="0087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14" w:rsidRDefault="00877614">
      <w:r>
        <w:separator/>
      </w:r>
    </w:p>
  </w:footnote>
  <w:footnote w:type="continuationSeparator" w:id="0">
    <w:p w:rsidR="00877614" w:rsidRDefault="00877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DB2"/>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0EB"/>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0F2A"/>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5B9"/>
    <w:rsid w:val="005C7438"/>
    <w:rsid w:val="005D35F3"/>
    <w:rsid w:val="005E03A7"/>
    <w:rsid w:val="005E13F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82B"/>
    <w:rsid w:val="008425C1"/>
    <w:rsid w:val="00843EB6"/>
    <w:rsid w:val="00844ABA"/>
    <w:rsid w:val="0084781C"/>
    <w:rsid w:val="00855AEC"/>
    <w:rsid w:val="00855F56"/>
    <w:rsid w:val="008570BA"/>
    <w:rsid w:val="00860ECA"/>
    <w:rsid w:val="0086679B"/>
    <w:rsid w:val="00870EF2"/>
    <w:rsid w:val="008717C5"/>
    <w:rsid w:val="00877614"/>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380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3DB"/>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F7CCE-FF95-4F08-857C-557C867F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80A"/>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table" w:styleId="TableGrid">
    <w:name w:val="Table Grid"/>
    <w:basedOn w:val="TableNormal"/>
    <w:uiPriority w:val="59"/>
    <w:rsid w:val="0097380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0824">
      <w:bodyDiv w:val="1"/>
      <w:marLeft w:val="0"/>
      <w:marRight w:val="0"/>
      <w:marTop w:val="0"/>
      <w:marBottom w:val="0"/>
      <w:divBdr>
        <w:top w:val="none" w:sz="0" w:space="0" w:color="auto"/>
        <w:left w:val="none" w:sz="0" w:space="0" w:color="auto"/>
        <w:bottom w:val="none" w:sz="0" w:space="0" w:color="auto"/>
        <w:right w:val="none" w:sz="0" w:space="0" w:color="auto"/>
      </w:divBdr>
    </w:div>
    <w:div w:id="6696029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2020-04-27T20:22:00Z</dcterms:created>
  <dcterms:modified xsi:type="dcterms:W3CDTF">2020-04-27T22:04:00Z</dcterms:modified>
</cp:coreProperties>
</file>