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CC" w:rsidRDefault="00AB5BCC" w:rsidP="00AB5BCC">
      <w:pPr>
        <w:widowControl w:val="0"/>
        <w:autoSpaceDE w:val="0"/>
        <w:autoSpaceDN w:val="0"/>
        <w:adjustRightInd w:val="0"/>
      </w:pPr>
      <w:bookmarkStart w:id="0" w:name="_GoBack"/>
      <w:bookmarkEnd w:id="0"/>
    </w:p>
    <w:p w:rsidR="00AB5BCC" w:rsidRDefault="00AB5BCC" w:rsidP="00AB5BCC">
      <w:pPr>
        <w:widowControl w:val="0"/>
        <w:autoSpaceDE w:val="0"/>
        <w:autoSpaceDN w:val="0"/>
        <w:adjustRightInd w:val="0"/>
      </w:pPr>
      <w:r>
        <w:rPr>
          <w:b/>
          <w:bCs/>
        </w:rPr>
        <w:t>Section 615.701  Applicability</w:t>
      </w:r>
      <w:r>
        <w:t xml:space="preserve"> </w:t>
      </w:r>
    </w:p>
    <w:p w:rsidR="00AB5BCC" w:rsidRDefault="00AB5BCC" w:rsidP="00AB5BCC">
      <w:pPr>
        <w:widowControl w:val="0"/>
        <w:autoSpaceDE w:val="0"/>
        <w:autoSpaceDN w:val="0"/>
        <w:adjustRightInd w:val="0"/>
      </w:pPr>
    </w:p>
    <w:p w:rsidR="00AB5BCC" w:rsidRDefault="00AB5BCC" w:rsidP="00AB5BCC">
      <w:pPr>
        <w:widowControl w:val="0"/>
        <w:autoSpaceDE w:val="0"/>
        <w:autoSpaceDN w:val="0"/>
        <w:adjustRightInd w:val="0"/>
      </w:pPr>
      <w:r>
        <w:t xml:space="preserve">This Subpart applies to any existing unit for the storage and related handling of road oils that is located wholly or partially within a setback zone or regulated recharge area and at which greater than 25,000 gallons of road oils are stored or accumulated at any one time, except as otherwise provided in Section 615.105. </w:t>
      </w:r>
    </w:p>
    <w:sectPr w:rsidR="00AB5BCC" w:rsidSect="00AB5B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5BCC"/>
    <w:rsid w:val="00424003"/>
    <w:rsid w:val="005A47B7"/>
    <w:rsid w:val="005C3366"/>
    <w:rsid w:val="00AB5BCC"/>
    <w:rsid w:val="00AE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