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08" w:rsidRDefault="00753D08" w:rsidP="00753D08">
      <w:pPr>
        <w:widowControl w:val="0"/>
        <w:autoSpaceDE w:val="0"/>
        <w:autoSpaceDN w:val="0"/>
        <w:adjustRightInd w:val="0"/>
      </w:pPr>
    </w:p>
    <w:p w:rsidR="00753D08" w:rsidRDefault="00753D08" w:rsidP="00753D08">
      <w:pPr>
        <w:widowControl w:val="0"/>
        <w:autoSpaceDE w:val="0"/>
        <w:autoSpaceDN w:val="0"/>
        <w:adjustRightInd w:val="0"/>
      </w:pPr>
      <w:r>
        <w:rPr>
          <w:b/>
          <w:bCs/>
        </w:rPr>
        <w:t>Section 620.310  Preventive Response Activities</w:t>
      </w:r>
      <w:r>
        <w:t xml:space="preserve"> </w:t>
      </w:r>
    </w:p>
    <w:p w:rsidR="00753D08" w:rsidRDefault="00753D08" w:rsidP="00753D08">
      <w:pPr>
        <w:widowControl w:val="0"/>
        <w:autoSpaceDE w:val="0"/>
        <w:autoSpaceDN w:val="0"/>
        <w:adjustRightInd w:val="0"/>
      </w:pPr>
    </w:p>
    <w:p w:rsidR="00753D08" w:rsidRDefault="00753D08" w:rsidP="00753D08">
      <w:pPr>
        <w:widowControl w:val="0"/>
        <w:autoSpaceDE w:val="0"/>
        <w:autoSpaceDN w:val="0"/>
        <w:adjustRightInd w:val="0"/>
        <w:ind w:left="1440" w:hanging="720"/>
      </w:pPr>
      <w:r>
        <w:t>a)</w:t>
      </w:r>
      <w:r>
        <w:tab/>
        <w:t xml:space="preserve">The following preventive assessment must be undertaken: </w:t>
      </w:r>
    </w:p>
    <w:p w:rsidR="004156D0" w:rsidRDefault="004156D0" w:rsidP="00753D08">
      <w:pPr>
        <w:widowControl w:val="0"/>
        <w:autoSpaceDE w:val="0"/>
        <w:autoSpaceDN w:val="0"/>
        <w:adjustRightInd w:val="0"/>
        <w:ind w:left="2160" w:hanging="720"/>
      </w:pPr>
    </w:p>
    <w:p w:rsidR="00753D08" w:rsidRDefault="00753D08" w:rsidP="00753D08">
      <w:pPr>
        <w:widowControl w:val="0"/>
        <w:autoSpaceDE w:val="0"/>
        <w:autoSpaceDN w:val="0"/>
        <w:adjustRightInd w:val="0"/>
        <w:ind w:left="2160" w:hanging="720"/>
      </w:pPr>
      <w:r>
        <w:t>1)</w:t>
      </w:r>
      <w:r>
        <w:tab/>
        <w:t xml:space="preserve">If a preventive notification under Section 620.305(c) is provided by a community water supply: </w:t>
      </w:r>
    </w:p>
    <w:p w:rsidR="004156D0" w:rsidRDefault="004156D0" w:rsidP="00753D08">
      <w:pPr>
        <w:widowControl w:val="0"/>
        <w:autoSpaceDE w:val="0"/>
        <w:autoSpaceDN w:val="0"/>
        <w:adjustRightInd w:val="0"/>
        <w:ind w:left="2880" w:hanging="720"/>
      </w:pPr>
    </w:p>
    <w:p w:rsidR="00753D08" w:rsidRDefault="00753D08" w:rsidP="00753D08">
      <w:pPr>
        <w:widowControl w:val="0"/>
        <w:autoSpaceDE w:val="0"/>
        <w:autoSpaceDN w:val="0"/>
        <w:adjustRightInd w:val="0"/>
        <w:ind w:left="2880" w:hanging="720"/>
      </w:pPr>
      <w:r>
        <w:t>A)</w:t>
      </w:r>
      <w:r>
        <w:tab/>
        <w:t xml:space="preserve">The Agency shall notify the owner or operator of any identified potential primary source, potential secondary source, potential route, or community water supply well that is located within 2,500 feet of the wellhead. </w:t>
      </w:r>
    </w:p>
    <w:p w:rsidR="004156D0" w:rsidRDefault="004156D0" w:rsidP="00753D08">
      <w:pPr>
        <w:widowControl w:val="0"/>
        <w:autoSpaceDE w:val="0"/>
        <w:autoSpaceDN w:val="0"/>
        <w:adjustRightInd w:val="0"/>
        <w:ind w:left="2880" w:hanging="720"/>
      </w:pPr>
    </w:p>
    <w:p w:rsidR="00753D08" w:rsidRDefault="00753D08" w:rsidP="00753D08">
      <w:pPr>
        <w:widowControl w:val="0"/>
        <w:autoSpaceDE w:val="0"/>
        <w:autoSpaceDN w:val="0"/>
        <w:adjustRightInd w:val="0"/>
        <w:ind w:left="2880" w:hanging="720"/>
      </w:pPr>
      <w:r>
        <w:t>B)</w:t>
      </w:r>
      <w:r>
        <w:tab/>
        <w:t xml:space="preserve">The owner or operator notified under subsection (a)(1)(A) shall, within 30 days after the date of issuance of such notice, sample each water well or monitoring well for the contaminant identified in the notice if the contaminant or material containing such contaminant is or has been stored, disposed of, or otherwise handled at the site.  If a contaminant identified under Section 620.305(a) is detected, then the well must be resampled within 30 days of the date on which the first sample analyses are received.  If a contaminant identified under Section 620.305(a) is detected by the resampling, preventive notification must be given as set forth in Section 620.305. </w:t>
      </w:r>
    </w:p>
    <w:p w:rsidR="004156D0" w:rsidRDefault="004156D0" w:rsidP="00753D08">
      <w:pPr>
        <w:widowControl w:val="0"/>
        <w:autoSpaceDE w:val="0"/>
        <w:autoSpaceDN w:val="0"/>
        <w:adjustRightInd w:val="0"/>
        <w:ind w:left="2880" w:hanging="720"/>
      </w:pPr>
    </w:p>
    <w:p w:rsidR="00753D08" w:rsidRDefault="00753D08" w:rsidP="00753D08">
      <w:pPr>
        <w:widowControl w:val="0"/>
        <w:autoSpaceDE w:val="0"/>
        <w:autoSpaceDN w:val="0"/>
        <w:adjustRightInd w:val="0"/>
        <w:ind w:left="2880" w:hanging="720"/>
      </w:pPr>
      <w:r>
        <w:t>C)</w:t>
      </w:r>
      <w:r>
        <w:tab/>
        <w:t xml:space="preserve">If the Agency receives analytical results under subsection (a)(1)(B) that show a contaminant identified under Section 620.305(a) has been detected, the Agency shall: </w:t>
      </w:r>
    </w:p>
    <w:p w:rsidR="004156D0" w:rsidRDefault="004156D0" w:rsidP="00753D08">
      <w:pPr>
        <w:widowControl w:val="0"/>
        <w:autoSpaceDE w:val="0"/>
        <w:autoSpaceDN w:val="0"/>
        <w:adjustRightInd w:val="0"/>
        <w:ind w:left="3600" w:hanging="720"/>
      </w:pPr>
    </w:p>
    <w:p w:rsidR="00753D08" w:rsidRDefault="00753D08" w:rsidP="00753D08">
      <w:pPr>
        <w:widowControl w:val="0"/>
        <w:autoSpaceDE w:val="0"/>
        <w:autoSpaceDN w:val="0"/>
        <w:adjustRightInd w:val="0"/>
        <w:ind w:left="3600" w:hanging="720"/>
      </w:pPr>
      <w:r>
        <w:t>i)</w:t>
      </w:r>
      <w:r>
        <w:tab/>
        <w:t xml:space="preserve">Conduct a well site survey pursuant to 415 ILCS 5/17.1(d), if such a survey has not been previously conducted within the last 5 years; and </w:t>
      </w:r>
    </w:p>
    <w:p w:rsidR="004156D0" w:rsidRDefault="004156D0" w:rsidP="00753D08">
      <w:pPr>
        <w:widowControl w:val="0"/>
        <w:autoSpaceDE w:val="0"/>
        <w:autoSpaceDN w:val="0"/>
        <w:adjustRightInd w:val="0"/>
        <w:ind w:left="3600" w:hanging="720"/>
      </w:pPr>
    </w:p>
    <w:p w:rsidR="00753D08" w:rsidRDefault="00753D08" w:rsidP="00753D08">
      <w:pPr>
        <w:widowControl w:val="0"/>
        <w:autoSpaceDE w:val="0"/>
        <w:autoSpaceDN w:val="0"/>
        <w:adjustRightInd w:val="0"/>
        <w:ind w:left="3600" w:hanging="720"/>
      </w:pPr>
      <w:r>
        <w:t>ii)</w:t>
      </w:r>
      <w:r>
        <w:tab/>
        <w:t xml:space="preserve">Identify those sites or activities that represent a hazard to the continued availability of groundwaters for public use unless a groundwater protection needs assessment has been prepared pursuant to 415 ILCS 5/17.1(d). </w:t>
      </w:r>
    </w:p>
    <w:p w:rsidR="004156D0" w:rsidRDefault="004156D0" w:rsidP="00753D08">
      <w:pPr>
        <w:widowControl w:val="0"/>
        <w:autoSpaceDE w:val="0"/>
        <w:autoSpaceDN w:val="0"/>
        <w:adjustRightInd w:val="0"/>
        <w:ind w:left="2160" w:hanging="720"/>
      </w:pPr>
    </w:p>
    <w:p w:rsidR="00753D08" w:rsidRDefault="00753D08" w:rsidP="00753D08">
      <w:pPr>
        <w:widowControl w:val="0"/>
        <w:autoSpaceDE w:val="0"/>
        <w:autoSpaceDN w:val="0"/>
        <w:adjustRightInd w:val="0"/>
        <w:ind w:left="2160" w:hanging="720"/>
      </w:pPr>
      <w:r>
        <w:t>2)</w:t>
      </w:r>
      <w:r>
        <w:tab/>
        <w:t xml:space="preserve">If a preventive notification is provided under Section 620.305(c) by a non-community water supply or for multiple private water supply wells, the Department of Public Health shall conduct a sanitary survey within 1,000 feet of the wellhead of a non-community water supply or within 500 feet of the wellheads for multiple private water supply wells. </w:t>
      </w:r>
    </w:p>
    <w:p w:rsidR="004156D0" w:rsidRDefault="004156D0" w:rsidP="00753D08">
      <w:pPr>
        <w:widowControl w:val="0"/>
        <w:autoSpaceDE w:val="0"/>
        <w:autoSpaceDN w:val="0"/>
        <w:adjustRightInd w:val="0"/>
        <w:ind w:left="2160" w:hanging="720"/>
      </w:pPr>
    </w:p>
    <w:p w:rsidR="00753D08" w:rsidRDefault="00753D08" w:rsidP="00753D08">
      <w:pPr>
        <w:widowControl w:val="0"/>
        <w:autoSpaceDE w:val="0"/>
        <w:autoSpaceDN w:val="0"/>
        <w:adjustRightInd w:val="0"/>
        <w:ind w:left="2160" w:hanging="720"/>
      </w:pPr>
      <w:r>
        <w:t>3)</w:t>
      </w:r>
      <w:r>
        <w:tab/>
        <w:t xml:space="preserve">If a preventive notification under Section 620.305(b) is provided by the owner or operator of a regulated entity and the applicable standard in </w:t>
      </w:r>
      <w:r>
        <w:lastRenderedPageBreak/>
        <w:t xml:space="preserve">Subpart D has not been exceeded: </w:t>
      </w:r>
    </w:p>
    <w:p w:rsidR="004156D0" w:rsidRDefault="004156D0" w:rsidP="00753D08">
      <w:pPr>
        <w:widowControl w:val="0"/>
        <w:autoSpaceDE w:val="0"/>
        <w:autoSpaceDN w:val="0"/>
        <w:adjustRightInd w:val="0"/>
        <w:ind w:left="2880" w:hanging="720"/>
      </w:pPr>
    </w:p>
    <w:p w:rsidR="00753D08" w:rsidRDefault="00753D08" w:rsidP="00753D08">
      <w:pPr>
        <w:widowControl w:val="0"/>
        <w:autoSpaceDE w:val="0"/>
        <w:autoSpaceDN w:val="0"/>
        <w:adjustRightInd w:val="0"/>
        <w:ind w:left="2880" w:hanging="720"/>
      </w:pPr>
      <w:r>
        <w:t>A)</w:t>
      </w:r>
      <w:r>
        <w:tab/>
        <w:t xml:space="preserve">The appropriate regulatory agency shall determine if any of the following occurs for Class I:  Potable Resource Groundwater: </w:t>
      </w:r>
    </w:p>
    <w:p w:rsidR="004156D0" w:rsidRDefault="004156D0" w:rsidP="00753D08">
      <w:pPr>
        <w:widowControl w:val="0"/>
        <w:autoSpaceDE w:val="0"/>
        <w:autoSpaceDN w:val="0"/>
        <w:adjustRightInd w:val="0"/>
        <w:ind w:left="3600" w:hanging="720"/>
      </w:pPr>
    </w:p>
    <w:p w:rsidR="00753D08" w:rsidRDefault="00753D08" w:rsidP="00753D08">
      <w:pPr>
        <w:widowControl w:val="0"/>
        <w:autoSpaceDE w:val="0"/>
        <w:autoSpaceDN w:val="0"/>
        <w:adjustRightInd w:val="0"/>
        <w:ind w:left="3600" w:hanging="720"/>
      </w:pPr>
      <w:r>
        <w:t>i)</w:t>
      </w:r>
      <w:r>
        <w:tab/>
        <w:t xml:space="preserve">The levels set forth below are exceeded or are changed for pH: </w:t>
      </w:r>
    </w:p>
    <w:p w:rsidR="00761250" w:rsidRDefault="00761250" w:rsidP="00753D08">
      <w:pPr>
        <w:widowControl w:val="0"/>
        <w:autoSpaceDE w:val="0"/>
        <w:autoSpaceDN w:val="0"/>
        <w:adjustRightInd w:val="0"/>
        <w:ind w:left="3600" w:hanging="720"/>
      </w:pPr>
    </w:p>
    <w:tbl>
      <w:tblPr>
        <w:tblW w:w="0" w:type="auto"/>
        <w:tblInd w:w="3699" w:type="dxa"/>
        <w:tblLook w:val="0000" w:firstRow="0" w:lastRow="0" w:firstColumn="0" w:lastColumn="0" w:noHBand="0" w:noVBand="0"/>
      </w:tblPr>
      <w:tblGrid>
        <w:gridCol w:w="3306"/>
        <w:gridCol w:w="1698"/>
      </w:tblGrid>
      <w:tr w:rsidR="00761250">
        <w:tc>
          <w:tcPr>
            <w:tcW w:w="3306" w:type="dxa"/>
          </w:tcPr>
          <w:p w:rsidR="00761250" w:rsidRDefault="00761250" w:rsidP="00753D08">
            <w:pPr>
              <w:widowControl w:val="0"/>
              <w:autoSpaceDE w:val="0"/>
              <w:autoSpaceDN w:val="0"/>
              <w:adjustRightInd w:val="0"/>
            </w:pPr>
            <w:r>
              <w:t>Constituent</w:t>
            </w:r>
          </w:p>
        </w:tc>
        <w:tc>
          <w:tcPr>
            <w:tcW w:w="1698" w:type="dxa"/>
          </w:tcPr>
          <w:p w:rsidR="00761250" w:rsidRDefault="00761250" w:rsidP="00753D08">
            <w:pPr>
              <w:widowControl w:val="0"/>
              <w:autoSpaceDE w:val="0"/>
              <w:autoSpaceDN w:val="0"/>
              <w:adjustRightInd w:val="0"/>
            </w:pPr>
            <w:r>
              <w:t>Criteria (mg/L)</w:t>
            </w:r>
          </w:p>
        </w:tc>
      </w:tr>
      <w:tr w:rsidR="00761250">
        <w:tc>
          <w:tcPr>
            <w:tcW w:w="5004" w:type="dxa"/>
            <w:gridSpan w:val="2"/>
          </w:tcPr>
          <w:p w:rsidR="00761250" w:rsidRDefault="00761250" w:rsidP="00753D08">
            <w:pPr>
              <w:widowControl w:val="0"/>
              <w:autoSpaceDE w:val="0"/>
              <w:autoSpaceDN w:val="0"/>
              <w:adjustRightInd w:val="0"/>
            </w:pPr>
          </w:p>
        </w:tc>
      </w:tr>
      <w:tr w:rsidR="00761250">
        <w:tc>
          <w:tcPr>
            <w:tcW w:w="3306" w:type="dxa"/>
          </w:tcPr>
          <w:p w:rsidR="00761250" w:rsidRDefault="00761250" w:rsidP="00753D08">
            <w:pPr>
              <w:widowControl w:val="0"/>
              <w:autoSpaceDE w:val="0"/>
              <w:autoSpaceDN w:val="0"/>
              <w:adjustRightInd w:val="0"/>
            </w:pPr>
            <w:r>
              <w:t>Para-Dichlorobenzene</w:t>
            </w:r>
          </w:p>
        </w:tc>
        <w:tc>
          <w:tcPr>
            <w:tcW w:w="1698" w:type="dxa"/>
          </w:tcPr>
          <w:p w:rsidR="00761250" w:rsidRDefault="00761250" w:rsidP="00753D08">
            <w:pPr>
              <w:widowControl w:val="0"/>
              <w:autoSpaceDE w:val="0"/>
              <w:autoSpaceDN w:val="0"/>
              <w:adjustRightInd w:val="0"/>
            </w:pPr>
            <w:r>
              <w:t>0.005</w:t>
            </w:r>
          </w:p>
        </w:tc>
      </w:tr>
      <w:tr w:rsidR="00761250">
        <w:tc>
          <w:tcPr>
            <w:tcW w:w="3306" w:type="dxa"/>
          </w:tcPr>
          <w:p w:rsidR="00761250" w:rsidRDefault="00761250" w:rsidP="00753D08">
            <w:pPr>
              <w:widowControl w:val="0"/>
              <w:autoSpaceDE w:val="0"/>
              <w:autoSpaceDN w:val="0"/>
              <w:adjustRightInd w:val="0"/>
            </w:pPr>
            <w:r>
              <w:t>Ortho-Dichlorobenzene</w:t>
            </w:r>
          </w:p>
        </w:tc>
        <w:tc>
          <w:tcPr>
            <w:tcW w:w="1698" w:type="dxa"/>
          </w:tcPr>
          <w:p w:rsidR="00761250" w:rsidRDefault="00761250" w:rsidP="00753D08">
            <w:pPr>
              <w:widowControl w:val="0"/>
              <w:autoSpaceDE w:val="0"/>
              <w:autoSpaceDN w:val="0"/>
              <w:adjustRightInd w:val="0"/>
            </w:pPr>
            <w:r>
              <w:t>0.01</w:t>
            </w:r>
          </w:p>
        </w:tc>
      </w:tr>
      <w:tr w:rsidR="00761250">
        <w:tc>
          <w:tcPr>
            <w:tcW w:w="3306" w:type="dxa"/>
          </w:tcPr>
          <w:p w:rsidR="00761250" w:rsidRDefault="00761250" w:rsidP="00753D08">
            <w:pPr>
              <w:widowControl w:val="0"/>
              <w:autoSpaceDE w:val="0"/>
              <w:autoSpaceDN w:val="0"/>
              <w:adjustRightInd w:val="0"/>
            </w:pPr>
            <w:r>
              <w:t>Ethylbenzene</w:t>
            </w:r>
          </w:p>
        </w:tc>
        <w:tc>
          <w:tcPr>
            <w:tcW w:w="1698" w:type="dxa"/>
          </w:tcPr>
          <w:p w:rsidR="00761250" w:rsidRDefault="00761250" w:rsidP="00753D08">
            <w:pPr>
              <w:widowControl w:val="0"/>
              <w:autoSpaceDE w:val="0"/>
              <w:autoSpaceDN w:val="0"/>
              <w:adjustRightInd w:val="0"/>
            </w:pPr>
            <w:r>
              <w:t>0.03</w:t>
            </w:r>
          </w:p>
        </w:tc>
      </w:tr>
      <w:tr w:rsidR="00761250">
        <w:tc>
          <w:tcPr>
            <w:tcW w:w="3306" w:type="dxa"/>
          </w:tcPr>
          <w:p w:rsidR="00761250" w:rsidRDefault="00761250" w:rsidP="00752414">
            <w:pPr>
              <w:widowControl w:val="0"/>
              <w:autoSpaceDE w:val="0"/>
              <w:autoSpaceDN w:val="0"/>
              <w:adjustRightInd w:val="0"/>
              <w:ind w:left="261" w:hanging="261"/>
            </w:pPr>
            <w:r>
              <w:t>Methyl Tertiary-Butyl Ether</w:t>
            </w:r>
            <w:r w:rsidR="00337AF3">
              <w:t xml:space="preserve"> (MTBE)</w:t>
            </w:r>
          </w:p>
        </w:tc>
        <w:tc>
          <w:tcPr>
            <w:tcW w:w="1698" w:type="dxa"/>
          </w:tcPr>
          <w:p w:rsidR="00761250" w:rsidRDefault="00761250" w:rsidP="00753D08">
            <w:pPr>
              <w:widowControl w:val="0"/>
              <w:autoSpaceDE w:val="0"/>
              <w:autoSpaceDN w:val="0"/>
              <w:adjustRightInd w:val="0"/>
            </w:pPr>
            <w:r>
              <w:t>0.02</w:t>
            </w:r>
          </w:p>
        </w:tc>
      </w:tr>
      <w:tr w:rsidR="00761250">
        <w:tc>
          <w:tcPr>
            <w:tcW w:w="3306" w:type="dxa"/>
          </w:tcPr>
          <w:p w:rsidR="00761250" w:rsidRDefault="00761250" w:rsidP="00753D08">
            <w:pPr>
              <w:widowControl w:val="0"/>
              <w:autoSpaceDE w:val="0"/>
              <w:autoSpaceDN w:val="0"/>
              <w:adjustRightInd w:val="0"/>
            </w:pPr>
            <w:r>
              <w:t>Phenols</w:t>
            </w:r>
          </w:p>
        </w:tc>
        <w:tc>
          <w:tcPr>
            <w:tcW w:w="1698" w:type="dxa"/>
          </w:tcPr>
          <w:p w:rsidR="00761250" w:rsidRDefault="00761250" w:rsidP="00753D08">
            <w:pPr>
              <w:widowControl w:val="0"/>
              <w:autoSpaceDE w:val="0"/>
              <w:autoSpaceDN w:val="0"/>
              <w:adjustRightInd w:val="0"/>
            </w:pPr>
            <w:r>
              <w:t>0.001</w:t>
            </w:r>
          </w:p>
        </w:tc>
      </w:tr>
      <w:tr w:rsidR="00761250">
        <w:tc>
          <w:tcPr>
            <w:tcW w:w="3306" w:type="dxa"/>
          </w:tcPr>
          <w:p w:rsidR="00761250" w:rsidRDefault="00761250" w:rsidP="00753D08">
            <w:pPr>
              <w:widowControl w:val="0"/>
              <w:autoSpaceDE w:val="0"/>
              <w:autoSpaceDN w:val="0"/>
              <w:adjustRightInd w:val="0"/>
            </w:pPr>
            <w:r>
              <w:t>Styrene</w:t>
            </w:r>
          </w:p>
        </w:tc>
        <w:tc>
          <w:tcPr>
            <w:tcW w:w="1698" w:type="dxa"/>
          </w:tcPr>
          <w:p w:rsidR="00761250" w:rsidRDefault="00761250" w:rsidP="00753D08">
            <w:pPr>
              <w:widowControl w:val="0"/>
              <w:autoSpaceDE w:val="0"/>
              <w:autoSpaceDN w:val="0"/>
              <w:adjustRightInd w:val="0"/>
            </w:pPr>
            <w:r>
              <w:t>0.01</w:t>
            </w:r>
          </w:p>
        </w:tc>
      </w:tr>
      <w:tr w:rsidR="00761250">
        <w:tc>
          <w:tcPr>
            <w:tcW w:w="3306" w:type="dxa"/>
          </w:tcPr>
          <w:p w:rsidR="00761250" w:rsidRDefault="00761250" w:rsidP="00753D08">
            <w:pPr>
              <w:widowControl w:val="0"/>
              <w:autoSpaceDE w:val="0"/>
              <w:autoSpaceDN w:val="0"/>
              <w:adjustRightInd w:val="0"/>
            </w:pPr>
            <w:r>
              <w:t>Toluene</w:t>
            </w:r>
          </w:p>
        </w:tc>
        <w:tc>
          <w:tcPr>
            <w:tcW w:w="1698" w:type="dxa"/>
          </w:tcPr>
          <w:p w:rsidR="00761250" w:rsidRDefault="00761250" w:rsidP="00753D08">
            <w:pPr>
              <w:widowControl w:val="0"/>
              <w:autoSpaceDE w:val="0"/>
              <w:autoSpaceDN w:val="0"/>
              <w:adjustRightInd w:val="0"/>
            </w:pPr>
            <w:r>
              <w:t>0.04</w:t>
            </w:r>
          </w:p>
        </w:tc>
      </w:tr>
      <w:tr w:rsidR="00761250">
        <w:tc>
          <w:tcPr>
            <w:tcW w:w="3306" w:type="dxa"/>
          </w:tcPr>
          <w:p w:rsidR="00761250" w:rsidRDefault="00761250" w:rsidP="00753D08">
            <w:pPr>
              <w:widowControl w:val="0"/>
              <w:autoSpaceDE w:val="0"/>
              <w:autoSpaceDN w:val="0"/>
              <w:adjustRightInd w:val="0"/>
            </w:pPr>
            <w:r>
              <w:t>Xylenes</w:t>
            </w:r>
          </w:p>
        </w:tc>
        <w:tc>
          <w:tcPr>
            <w:tcW w:w="1698" w:type="dxa"/>
          </w:tcPr>
          <w:p w:rsidR="00761250" w:rsidRDefault="00761250" w:rsidP="00753D08">
            <w:pPr>
              <w:widowControl w:val="0"/>
              <w:autoSpaceDE w:val="0"/>
              <w:autoSpaceDN w:val="0"/>
              <w:adjustRightInd w:val="0"/>
            </w:pPr>
            <w:r>
              <w:t>0.02</w:t>
            </w:r>
          </w:p>
        </w:tc>
      </w:tr>
    </w:tbl>
    <w:p w:rsidR="00753D08" w:rsidRDefault="00753D08" w:rsidP="00753D08">
      <w:pPr>
        <w:widowControl w:val="0"/>
        <w:autoSpaceDE w:val="0"/>
        <w:autoSpaceDN w:val="0"/>
        <w:adjustRightInd w:val="0"/>
      </w:pPr>
    </w:p>
    <w:p w:rsidR="00753D08" w:rsidRDefault="00753D08" w:rsidP="00753D08">
      <w:pPr>
        <w:widowControl w:val="0"/>
        <w:autoSpaceDE w:val="0"/>
        <w:autoSpaceDN w:val="0"/>
        <w:adjustRightInd w:val="0"/>
        <w:ind w:left="3600" w:hanging="720"/>
      </w:pPr>
      <w:r>
        <w:t>ii)</w:t>
      </w:r>
      <w:r>
        <w:tab/>
        <w:t>A statistically significant increase occurs above background (as determined pursuant to other regulatory procedures (e.g., 35 Ill. Adm. Code 616, 724, 725 or 811)) for arsenic, beryllium, cadmium, chromium, cyanide, lead, mercury</w:t>
      </w:r>
      <w:r w:rsidR="00EC4CA4">
        <w:t>,</w:t>
      </w:r>
      <w:r>
        <w:t xml:space="preserve"> thallium</w:t>
      </w:r>
      <w:r w:rsidR="00337AF3">
        <w:t>, or vanadium</w:t>
      </w:r>
      <w:r>
        <w:t xml:space="preserve"> (except due to natural causes); or for </w:t>
      </w:r>
      <w:r w:rsidR="00337AF3">
        <w:t xml:space="preserve">acenaphthene, acetone, </w:t>
      </w:r>
      <w:r>
        <w:t xml:space="preserve">aldicarb, </w:t>
      </w:r>
      <w:r w:rsidR="00337AF3">
        <w:t xml:space="preserve">anthracene, </w:t>
      </w:r>
      <w:r>
        <w:t>atrazine</w:t>
      </w:r>
      <w:r w:rsidR="00EC4CA4">
        <w:t>,</w:t>
      </w:r>
      <w:r w:rsidR="00337AF3">
        <w:t xml:space="preserve"> benzoic acid, carbon disulfide</w:t>
      </w:r>
      <w:r>
        <w:t xml:space="preserve">, carbofuran, dalapon, </w:t>
      </w:r>
      <w:r w:rsidR="00337AF3" w:rsidRPr="002B4F7B">
        <w:t xml:space="preserve">2-butanone (MEK), dicamba, dichlorodifluoromethane, 1,1-dichloroethane, diethyl phthalate, di-n-butyl phthalate, </w:t>
      </w:r>
      <w:r>
        <w:t xml:space="preserve">dinoseb, endrin, endothall, </w:t>
      </w:r>
      <w:r w:rsidR="00337AF3">
        <w:t xml:space="preserve">fluoranthene, fluorine, </w:t>
      </w:r>
      <w:r>
        <w:t xml:space="preserve">hexachlorocyclopentadiene, </w:t>
      </w:r>
      <w:r w:rsidR="00337AF3">
        <w:t xml:space="preserve">isopropylbenzene (cumene), </w:t>
      </w:r>
      <w:r>
        <w:t xml:space="preserve">lindane (gamma-hexachloro cyclohexane), 2,4-D,1,1 - dichloroethylene, cis-1,2-dichloroethylene, trans-1,2-dichloroethylene, </w:t>
      </w:r>
      <w:r w:rsidR="00337AF3">
        <w:t>MCPP (mecoprop), 2-methylnapht</w:t>
      </w:r>
      <w:r w:rsidR="00EC4CA4">
        <w:t>h</w:t>
      </w:r>
      <w:r w:rsidR="00337AF3">
        <w:t xml:space="preserve">alene, </w:t>
      </w:r>
      <w:r>
        <w:t xml:space="preserve">methoxychlor, </w:t>
      </w:r>
      <w:r w:rsidR="00337AF3">
        <w:t xml:space="preserve">2-methylphenol, </w:t>
      </w:r>
      <w:r>
        <w:t xml:space="preserve">monochlorobenzene, </w:t>
      </w:r>
      <w:r w:rsidR="00337AF3">
        <w:t xml:space="preserve">naphthalene, </w:t>
      </w:r>
      <w:r>
        <w:t xml:space="preserve">picloram, </w:t>
      </w:r>
      <w:r w:rsidR="00EC4CA4">
        <w:t xml:space="preserve">pyrene, </w:t>
      </w:r>
      <w:r>
        <w:t>simazine, 2,4,5-TP (</w:t>
      </w:r>
      <w:r w:rsidR="00337AF3">
        <w:t>silvex</w:t>
      </w:r>
      <w:r>
        <w:t>), 1,2,4-trichlorobenzene, 1,1,2-trichloroethane, 1,1,1trichloroethane</w:t>
      </w:r>
      <w:r w:rsidR="00337AF3">
        <w:t>, and trichlorofluoromethane</w:t>
      </w:r>
      <w:r>
        <w:t xml:space="preserve">. </w:t>
      </w:r>
    </w:p>
    <w:p w:rsidR="004156D0" w:rsidRDefault="004156D0" w:rsidP="00753D08">
      <w:pPr>
        <w:widowControl w:val="0"/>
        <w:autoSpaceDE w:val="0"/>
        <w:autoSpaceDN w:val="0"/>
        <w:adjustRightInd w:val="0"/>
        <w:ind w:left="3600" w:hanging="720"/>
      </w:pPr>
    </w:p>
    <w:p w:rsidR="00753D08" w:rsidRDefault="00753D08" w:rsidP="00753D08">
      <w:pPr>
        <w:widowControl w:val="0"/>
        <w:autoSpaceDE w:val="0"/>
        <w:autoSpaceDN w:val="0"/>
        <w:adjustRightInd w:val="0"/>
        <w:ind w:left="3600" w:hanging="720"/>
      </w:pPr>
      <w:r>
        <w:t>iii)</w:t>
      </w:r>
      <w:r>
        <w:tab/>
        <w:t xml:space="preserve">For a chemical constituent of gasoline, diesel fuel, or heating fuel, the constituent exceeds the following: </w:t>
      </w:r>
    </w:p>
    <w:p w:rsidR="00753D08" w:rsidRDefault="00753D08" w:rsidP="00753D08">
      <w:pPr>
        <w:widowControl w:val="0"/>
        <w:autoSpaceDE w:val="0"/>
        <w:autoSpaceDN w:val="0"/>
        <w:adjustRightInd w:val="0"/>
      </w:pPr>
    </w:p>
    <w:tbl>
      <w:tblPr>
        <w:tblW w:w="0" w:type="auto"/>
        <w:tblInd w:w="3618" w:type="dxa"/>
        <w:tblLook w:val="0000" w:firstRow="0" w:lastRow="0" w:firstColumn="0" w:lastColumn="0" w:noHBand="0" w:noVBand="0"/>
      </w:tblPr>
      <w:tblGrid>
        <w:gridCol w:w="3045"/>
        <w:gridCol w:w="1824"/>
      </w:tblGrid>
      <w:tr w:rsidR="00761250" w:rsidTr="00EC4CA4">
        <w:tc>
          <w:tcPr>
            <w:tcW w:w="3045" w:type="dxa"/>
          </w:tcPr>
          <w:p w:rsidR="00761250" w:rsidRDefault="00761250" w:rsidP="00753D08">
            <w:pPr>
              <w:widowControl w:val="0"/>
              <w:autoSpaceDE w:val="0"/>
              <w:autoSpaceDN w:val="0"/>
              <w:adjustRightInd w:val="0"/>
            </w:pPr>
            <w:r>
              <w:t>Constituent</w:t>
            </w:r>
          </w:p>
        </w:tc>
        <w:tc>
          <w:tcPr>
            <w:tcW w:w="1824" w:type="dxa"/>
          </w:tcPr>
          <w:p w:rsidR="00761250" w:rsidRDefault="00761250" w:rsidP="00753D08">
            <w:pPr>
              <w:widowControl w:val="0"/>
              <w:autoSpaceDE w:val="0"/>
              <w:autoSpaceDN w:val="0"/>
              <w:adjustRightInd w:val="0"/>
            </w:pPr>
            <w:r>
              <w:t>Criterion (mg/L)</w:t>
            </w:r>
          </w:p>
        </w:tc>
      </w:tr>
      <w:tr w:rsidR="00761250" w:rsidTr="00EC4CA4">
        <w:tc>
          <w:tcPr>
            <w:tcW w:w="4869" w:type="dxa"/>
            <w:gridSpan w:val="2"/>
          </w:tcPr>
          <w:p w:rsidR="00761250" w:rsidRDefault="00761250" w:rsidP="00753D08">
            <w:pPr>
              <w:widowControl w:val="0"/>
              <w:autoSpaceDE w:val="0"/>
              <w:autoSpaceDN w:val="0"/>
              <w:adjustRightInd w:val="0"/>
            </w:pPr>
          </w:p>
        </w:tc>
      </w:tr>
      <w:tr w:rsidR="00761250" w:rsidTr="00EC4CA4">
        <w:tc>
          <w:tcPr>
            <w:tcW w:w="3045" w:type="dxa"/>
          </w:tcPr>
          <w:p w:rsidR="00761250" w:rsidRDefault="00761250" w:rsidP="00753D08">
            <w:pPr>
              <w:widowControl w:val="0"/>
              <w:autoSpaceDE w:val="0"/>
              <w:autoSpaceDN w:val="0"/>
              <w:adjustRightInd w:val="0"/>
            </w:pPr>
            <w:r>
              <w:t>BETX</w:t>
            </w:r>
          </w:p>
        </w:tc>
        <w:tc>
          <w:tcPr>
            <w:tcW w:w="1824" w:type="dxa"/>
          </w:tcPr>
          <w:p w:rsidR="00761250" w:rsidRDefault="00761250" w:rsidP="00753D08">
            <w:pPr>
              <w:widowControl w:val="0"/>
              <w:autoSpaceDE w:val="0"/>
              <w:autoSpaceDN w:val="0"/>
              <w:adjustRightInd w:val="0"/>
            </w:pPr>
            <w:r>
              <w:t>0.095</w:t>
            </w:r>
          </w:p>
        </w:tc>
      </w:tr>
    </w:tbl>
    <w:p w:rsidR="00753D08" w:rsidRDefault="00753D08" w:rsidP="00753D08">
      <w:pPr>
        <w:widowControl w:val="0"/>
        <w:autoSpaceDE w:val="0"/>
        <w:autoSpaceDN w:val="0"/>
        <w:adjustRightInd w:val="0"/>
      </w:pPr>
    </w:p>
    <w:p w:rsidR="00753D08" w:rsidRDefault="00753D08" w:rsidP="00753D08">
      <w:pPr>
        <w:widowControl w:val="0"/>
        <w:autoSpaceDE w:val="0"/>
        <w:autoSpaceDN w:val="0"/>
        <w:adjustRightInd w:val="0"/>
        <w:ind w:left="3600" w:hanging="720"/>
      </w:pPr>
      <w:r>
        <w:lastRenderedPageBreak/>
        <w:t>iv)</w:t>
      </w:r>
      <w:r>
        <w:tab/>
        <w:t xml:space="preserve">For pH, a statistically significant change occurs from background. </w:t>
      </w:r>
    </w:p>
    <w:p w:rsidR="004156D0" w:rsidRDefault="004156D0" w:rsidP="00753D08">
      <w:pPr>
        <w:widowControl w:val="0"/>
        <w:autoSpaceDE w:val="0"/>
        <w:autoSpaceDN w:val="0"/>
        <w:adjustRightInd w:val="0"/>
        <w:ind w:left="2160" w:hanging="720"/>
      </w:pPr>
    </w:p>
    <w:p w:rsidR="00753D08" w:rsidRDefault="00753D08" w:rsidP="00EC4CA4">
      <w:pPr>
        <w:widowControl w:val="0"/>
        <w:autoSpaceDE w:val="0"/>
        <w:autoSpaceDN w:val="0"/>
        <w:adjustRightInd w:val="0"/>
        <w:ind w:left="2880"/>
      </w:pPr>
      <w:r>
        <w:t xml:space="preserve">BOARD NOTE:  Constituents that are carcinogens have not been listed in subsection (a)(3)(A) because the standard is set at the PQL and any exceedence thereof is a violation subject to corrective action. </w:t>
      </w:r>
    </w:p>
    <w:p w:rsidR="004156D0" w:rsidRDefault="004156D0" w:rsidP="00753D08">
      <w:pPr>
        <w:widowControl w:val="0"/>
        <w:autoSpaceDE w:val="0"/>
        <w:autoSpaceDN w:val="0"/>
        <w:adjustRightInd w:val="0"/>
        <w:ind w:left="2880" w:hanging="720"/>
      </w:pPr>
    </w:p>
    <w:p w:rsidR="00753D08" w:rsidRDefault="00753D08" w:rsidP="00753D08">
      <w:pPr>
        <w:widowControl w:val="0"/>
        <w:autoSpaceDE w:val="0"/>
        <w:autoSpaceDN w:val="0"/>
        <w:adjustRightInd w:val="0"/>
        <w:ind w:left="2880" w:hanging="720"/>
      </w:pPr>
      <w:r>
        <w:t>B)</w:t>
      </w:r>
      <w:r>
        <w:tab/>
        <w:t xml:space="preserve">The appropriate agency shall determine if, for Class III:  Special Resource Groundwater, the levels as determined by the Board are exceeded. </w:t>
      </w:r>
    </w:p>
    <w:p w:rsidR="004156D0" w:rsidRDefault="004156D0" w:rsidP="00753D08">
      <w:pPr>
        <w:widowControl w:val="0"/>
        <w:autoSpaceDE w:val="0"/>
        <w:autoSpaceDN w:val="0"/>
        <w:adjustRightInd w:val="0"/>
        <w:ind w:left="2880" w:hanging="720"/>
      </w:pPr>
    </w:p>
    <w:p w:rsidR="00753D08" w:rsidRDefault="00753D08" w:rsidP="00753D08">
      <w:pPr>
        <w:widowControl w:val="0"/>
        <w:autoSpaceDE w:val="0"/>
        <w:autoSpaceDN w:val="0"/>
        <w:adjustRightInd w:val="0"/>
        <w:ind w:left="2880" w:hanging="720"/>
      </w:pPr>
      <w:r>
        <w:t>C)</w:t>
      </w:r>
      <w:r>
        <w:tab/>
        <w:t xml:space="preserve">The appropriate regulatory agency shall consider whether the owner or operator reasonably demonstrates that: </w:t>
      </w:r>
    </w:p>
    <w:p w:rsidR="004156D0" w:rsidRDefault="004156D0" w:rsidP="00753D08">
      <w:pPr>
        <w:widowControl w:val="0"/>
        <w:autoSpaceDE w:val="0"/>
        <w:autoSpaceDN w:val="0"/>
        <w:adjustRightInd w:val="0"/>
        <w:ind w:left="3600" w:hanging="720"/>
      </w:pPr>
    </w:p>
    <w:p w:rsidR="00753D08" w:rsidRDefault="00753D08" w:rsidP="00753D08">
      <w:pPr>
        <w:widowControl w:val="0"/>
        <w:autoSpaceDE w:val="0"/>
        <w:autoSpaceDN w:val="0"/>
        <w:adjustRightInd w:val="0"/>
        <w:ind w:left="3600" w:hanging="720"/>
      </w:pPr>
      <w:r>
        <w:t>i)</w:t>
      </w:r>
      <w:r>
        <w:tab/>
        <w:t xml:space="preserve">The contamination is a result of contaminants remaining in groundwater from a prior release for which appropriate action was taken in accordance with laws and regulations in existence at the time of the release; </w:t>
      </w:r>
    </w:p>
    <w:p w:rsidR="004156D0" w:rsidRDefault="004156D0" w:rsidP="00753D08">
      <w:pPr>
        <w:widowControl w:val="0"/>
        <w:autoSpaceDE w:val="0"/>
        <w:autoSpaceDN w:val="0"/>
        <w:adjustRightInd w:val="0"/>
        <w:ind w:left="3600" w:hanging="720"/>
      </w:pPr>
    </w:p>
    <w:p w:rsidR="00753D08" w:rsidRDefault="00753D08" w:rsidP="00753D08">
      <w:pPr>
        <w:widowControl w:val="0"/>
        <w:autoSpaceDE w:val="0"/>
        <w:autoSpaceDN w:val="0"/>
        <w:adjustRightInd w:val="0"/>
        <w:ind w:left="3600" w:hanging="720"/>
      </w:pPr>
      <w:r>
        <w:t>ii)</w:t>
      </w:r>
      <w:r>
        <w:tab/>
        <w:t xml:space="preserve">The source of contamination is not due to the on-site release of contaminants; or </w:t>
      </w:r>
    </w:p>
    <w:p w:rsidR="004156D0" w:rsidRDefault="004156D0" w:rsidP="00753D08">
      <w:pPr>
        <w:widowControl w:val="0"/>
        <w:autoSpaceDE w:val="0"/>
        <w:autoSpaceDN w:val="0"/>
        <w:adjustRightInd w:val="0"/>
        <w:ind w:left="3600" w:hanging="720"/>
      </w:pPr>
    </w:p>
    <w:p w:rsidR="00753D08" w:rsidRDefault="00753D08" w:rsidP="00753D08">
      <w:pPr>
        <w:widowControl w:val="0"/>
        <w:autoSpaceDE w:val="0"/>
        <w:autoSpaceDN w:val="0"/>
        <w:adjustRightInd w:val="0"/>
        <w:ind w:left="3600" w:hanging="720"/>
      </w:pPr>
      <w:r>
        <w:t>iii)</w:t>
      </w:r>
      <w:r>
        <w:tab/>
        <w:t xml:space="preserve">The detection resulted from error in sampling, analysis, or evaluation. </w:t>
      </w:r>
    </w:p>
    <w:p w:rsidR="004156D0" w:rsidRDefault="004156D0" w:rsidP="00753D08">
      <w:pPr>
        <w:widowControl w:val="0"/>
        <w:autoSpaceDE w:val="0"/>
        <w:autoSpaceDN w:val="0"/>
        <w:adjustRightInd w:val="0"/>
        <w:ind w:left="2880" w:hanging="720"/>
      </w:pPr>
    </w:p>
    <w:p w:rsidR="00753D08" w:rsidRDefault="00753D08" w:rsidP="00753D08">
      <w:pPr>
        <w:widowControl w:val="0"/>
        <w:autoSpaceDE w:val="0"/>
        <w:autoSpaceDN w:val="0"/>
        <w:adjustRightInd w:val="0"/>
        <w:ind w:left="2880" w:hanging="720"/>
      </w:pPr>
      <w:r>
        <w:t>D)</w:t>
      </w:r>
      <w:r>
        <w:tab/>
        <w:t xml:space="preserve">The appropriate regulatory agency shall consider actions necessary to minimize the degree and extent of contamination. </w:t>
      </w:r>
    </w:p>
    <w:p w:rsidR="004156D0" w:rsidRDefault="004156D0" w:rsidP="00753D08">
      <w:pPr>
        <w:widowControl w:val="0"/>
        <w:autoSpaceDE w:val="0"/>
        <w:autoSpaceDN w:val="0"/>
        <w:adjustRightInd w:val="0"/>
        <w:ind w:left="1440" w:hanging="720"/>
      </w:pPr>
    </w:p>
    <w:p w:rsidR="00753D08" w:rsidRDefault="00753D08" w:rsidP="00753D08">
      <w:pPr>
        <w:widowControl w:val="0"/>
        <w:autoSpaceDE w:val="0"/>
        <w:autoSpaceDN w:val="0"/>
        <w:adjustRightInd w:val="0"/>
        <w:ind w:left="1440" w:hanging="720"/>
      </w:pPr>
      <w:r>
        <w:t>b)</w:t>
      </w:r>
      <w:r>
        <w:tab/>
        <w:t xml:space="preserve">The appropriate regulatory agency shall determine whether a preventive response must be undertaken based on relevant factors including, but not limited to, the considerations in subsection (a)(3). </w:t>
      </w:r>
    </w:p>
    <w:p w:rsidR="004156D0" w:rsidRDefault="004156D0" w:rsidP="00753D08">
      <w:pPr>
        <w:widowControl w:val="0"/>
        <w:autoSpaceDE w:val="0"/>
        <w:autoSpaceDN w:val="0"/>
        <w:adjustRightInd w:val="0"/>
        <w:ind w:left="1440" w:hanging="720"/>
      </w:pPr>
    </w:p>
    <w:p w:rsidR="00753D08" w:rsidRDefault="00753D08" w:rsidP="00753D08">
      <w:pPr>
        <w:widowControl w:val="0"/>
        <w:autoSpaceDE w:val="0"/>
        <w:autoSpaceDN w:val="0"/>
        <w:adjustRightInd w:val="0"/>
        <w:ind w:left="1440" w:hanging="720"/>
      </w:pPr>
      <w:r>
        <w:t>c)</w:t>
      </w:r>
      <w:r>
        <w:tab/>
        <w:t xml:space="preserve">After completion of preventive response pursuant to authority of an appropriate regulatory agency, the concentration of a contaminant listed in subsection (a)(3)(A) in groundwater may exceed 50 percent of the applicable numerical standard in Subpart D only if the following conditions are met: </w:t>
      </w:r>
    </w:p>
    <w:p w:rsidR="004156D0" w:rsidRDefault="004156D0" w:rsidP="00753D08">
      <w:pPr>
        <w:widowControl w:val="0"/>
        <w:autoSpaceDE w:val="0"/>
        <w:autoSpaceDN w:val="0"/>
        <w:adjustRightInd w:val="0"/>
        <w:ind w:left="2160" w:hanging="720"/>
      </w:pPr>
    </w:p>
    <w:p w:rsidR="00753D08" w:rsidRDefault="00753D08" w:rsidP="00753D08">
      <w:pPr>
        <w:widowControl w:val="0"/>
        <w:autoSpaceDE w:val="0"/>
        <w:autoSpaceDN w:val="0"/>
        <w:adjustRightInd w:val="0"/>
        <w:ind w:left="2160" w:hanging="720"/>
      </w:pPr>
      <w:r>
        <w:t>1)</w:t>
      </w:r>
      <w:r>
        <w:tab/>
        <w:t xml:space="preserve">The exceedence has been minimized to the extent practicable; </w:t>
      </w:r>
    </w:p>
    <w:p w:rsidR="004156D0" w:rsidRDefault="004156D0" w:rsidP="00753D08">
      <w:pPr>
        <w:widowControl w:val="0"/>
        <w:autoSpaceDE w:val="0"/>
        <w:autoSpaceDN w:val="0"/>
        <w:adjustRightInd w:val="0"/>
        <w:ind w:left="2160" w:hanging="720"/>
      </w:pPr>
    </w:p>
    <w:p w:rsidR="00753D08" w:rsidRDefault="00753D08" w:rsidP="00753D08">
      <w:pPr>
        <w:widowControl w:val="0"/>
        <w:autoSpaceDE w:val="0"/>
        <w:autoSpaceDN w:val="0"/>
        <w:adjustRightInd w:val="0"/>
        <w:ind w:left="2160" w:hanging="720"/>
      </w:pPr>
      <w:r>
        <w:t>2)</w:t>
      </w:r>
      <w:r>
        <w:tab/>
        <w:t xml:space="preserve">Beneficial use, as appropriate for the class of groundwater, has been assured; and </w:t>
      </w:r>
    </w:p>
    <w:p w:rsidR="004156D0" w:rsidRDefault="004156D0" w:rsidP="00753D08">
      <w:pPr>
        <w:widowControl w:val="0"/>
        <w:autoSpaceDE w:val="0"/>
        <w:autoSpaceDN w:val="0"/>
        <w:adjustRightInd w:val="0"/>
        <w:ind w:left="2160" w:hanging="720"/>
      </w:pPr>
    </w:p>
    <w:p w:rsidR="00753D08" w:rsidRDefault="00753D08" w:rsidP="00753D08">
      <w:pPr>
        <w:widowControl w:val="0"/>
        <w:autoSpaceDE w:val="0"/>
        <w:autoSpaceDN w:val="0"/>
        <w:adjustRightInd w:val="0"/>
        <w:ind w:left="2160" w:hanging="720"/>
      </w:pPr>
      <w:r>
        <w:t>3)</w:t>
      </w:r>
      <w:r>
        <w:tab/>
        <w:t xml:space="preserve">Any threat to public health or the environment has been minimized. </w:t>
      </w:r>
    </w:p>
    <w:p w:rsidR="004156D0" w:rsidRDefault="004156D0" w:rsidP="00753D08">
      <w:pPr>
        <w:widowControl w:val="0"/>
        <w:autoSpaceDE w:val="0"/>
        <w:autoSpaceDN w:val="0"/>
        <w:adjustRightInd w:val="0"/>
        <w:ind w:left="1440" w:hanging="720"/>
      </w:pPr>
    </w:p>
    <w:p w:rsidR="00753D08" w:rsidRDefault="00753D08" w:rsidP="00753D08">
      <w:pPr>
        <w:widowControl w:val="0"/>
        <w:autoSpaceDE w:val="0"/>
        <w:autoSpaceDN w:val="0"/>
        <w:adjustRightInd w:val="0"/>
        <w:ind w:left="1440" w:hanging="720"/>
      </w:pPr>
      <w:r>
        <w:t>d)</w:t>
      </w:r>
      <w:r>
        <w:tab/>
        <w:t xml:space="preserve">Nothing in this Section shall in any way limit the authority of the State or of the </w:t>
      </w:r>
      <w:r>
        <w:lastRenderedPageBreak/>
        <w:t xml:space="preserve">United States to require or perform any corrective action process. </w:t>
      </w:r>
    </w:p>
    <w:p w:rsidR="00753D08" w:rsidRDefault="00753D08" w:rsidP="00753D08">
      <w:pPr>
        <w:widowControl w:val="0"/>
        <w:autoSpaceDE w:val="0"/>
        <w:autoSpaceDN w:val="0"/>
        <w:adjustRightInd w:val="0"/>
        <w:ind w:left="1440" w:hanging="720"/>
      </w:pPr>
    </w:p>
    <w:p w:rsidR="00337AF3" w:rsidRPr="00D55B37" w:rsidRDefault="00337AF3">
      <w:pPr>
        <w:pStyle w:val="JCARSourceNote"/>
        <w:ind w:left="720"/>
      </w:pPr>
      <w:r w:rsidRPr="00D55B37">
        <w:t xml:space="preserve">(Source:  </w:t>
      </w:r>
      <w:r>
        <w:t>Amended</w:t>
      </w:r>
      <w:r w:rsidRPr="00D55B37">
        <w:t xml:space="preserve"> at </w:t>
      </w:r>
      <w:r>
        <w:t>36 I</w:t>
      </w:r>
      <w:r w:rsidRPr="00D55B37">
        <w:t xml:space="preserve">ll. Reg. </w:t>
      </w:r>
      <w:r w:rsidR="00F33B88">
        <w:t>15206</w:t>
      </w:r>
      <w:r w:rsidRPr="00D55B37">
        <w:t xml:space="preserve">, effective </w:t>
      </w:r>
      <w:bookmarkStart w:id="0" w:name="_GoBack"/>
      <w:r w:rsidR="00F33B88">
        <w:t>October 5, 2012</w:t>
      </w:r>
      <w:bookmarkEnd w:id="0"/>
      <w:r w:rsidRPr="00D55B37">
        <w:t>)</w:t>
      </w:r>
    </w:p>
    <w:sectPr w:rsidR="00337AF3" w:rsidRPr="00D55B37" w:rsidSect="00753D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3D08"/>
    <w:rsid w:val="001F69D5"/>
    <w:rsid w:val="00337AF3"/>
    <w:rsid w:val="004156D0"/>
    <w:rsid w:val="00542B87"/>
    <w:rsid w:val="005C3366"/>
    <w:rsid w:val="00752414"/>
    <w:rsid w:val="00753D08"/>
    <w:rsid w:val="00761250"/>
    <w:rsid w:val="00827309"/>
    <w:rsid w:val="00EC4CA4"/>
    <w:rsid w:val="00F3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7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Sabo, Cheryl E.</cp:lastModifiedBy>
  <cp:revision>3</cp:revision>
  <dcterms:created xsi:type="dcterms:W3CDTF">2012-08-23T21:18:00Z</dcterms:created>
  <dcterms:modified xsi:type="dcterms:W3CDTF">2012-10-12T18:36:00Z</dcterms:modified>
</cp:coreProperties>
</file>