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8C9" w:rsidRDefault="00E248C9" w:rsidP="00E248C9">
      <w:pPr>
        <w:widowControl w:val="0"/>
        <w:autoSpaceDE w:val="0"/>
        <w:autoSpaceDN w:val="0"/>
        <w:adjustRightInd w:val="0"/>
      </w:pPr>
    </w:p>
    <w:p w:rsidR="00E248C9" w:rsidRDefault="00E248C9" w:rsidP="00E248C9">
      <w:pPr>
        <w:widowControl w:val="0"/>
        <w:autoSpaceDE w:val="0"/>
        <w:autoSpaceDN w:val="0"/>
        <w:adjustRightInd w:val="0"/>
      </w:pPr>
      <w:r>
        <w:rPr>
          <w:b/>
          <w:bCs/>
        </w:rPr>
        <w:t>Section 620.605  Issuance of a Health Advisory</w:t>
      </w:r>
      <w:r>
        <w:t xml:space="preserve"> </w:t>
      </w:r>
    </w:p>
    <w:p w:rsidR="00E248C9" w:rsidRDefault="00E248C9" w:rsidP="00E248C9">
      <w:pPr>
        <w:widowControl w:val="0"/>
        <w:autoSpaceDE w:val="0"/>
        <w:autoSpaceDN w:val="0"/>
        <w:adjustRightInd w:val="0"/>
      </w:pPr>
    </w:p>
    <w:p w:rsidR="00E248C9" w:rsidRDefault="00E248C9" w:rsidP="00E248C9">
      <w:pPr>
        <w:widowControl w:val="0"/>
        <w:autoSpaceDE w:val="0"/>
        <w:autoSpaceDN w:val="0"/>
        <w:adjustRightInd w:val="0"/>
        <w:ind w:left="1440" w:hanging="720"/>
      </w:pPr>
      <w:r>
        <w:t>a)</w:t>
      </w:r>
      <w:r>
        <w:tab/>
        <w:t xml:space="preserve">The Agency shall issue a Health Advisory for a chemical substance if all of the following conditions are met: </w:t>
      </w:r>
    </w:p>
    <w:p w:rsidR="00823961" w:rsidRDefault="00823961" w:rsidP="00E248C9">
      <w:pPr>
        <w:widowControl w:val="0"/>
        <w:autoSpaceDE w:val="0"/>
        <w:autoSpaceDN w:val="0"/>
        <w:adjustRightInd w:val="0"/>
        <w:ind w:left="2160" w:hanging="720"/>
      </w:pPr>
    </w:p>
    <w:p w:rsidR="00E248C9" w:rsidRDefault="00E248C9" w:rsidP="00E248C9">
      <w:pPr>
        <w:widowControl w:val="0"/>
        <w:autoSpaceDE w:val="0"/>
        <w:autoSpaceDN w:val="0"/>
        <w:adjustRightInd w:val="0"/>
        <w:ind w:left="2160" w:hanging="720"/>
      </w:pPr>
      <w:r>
        <w:t>1)</w:t>
      </w:r>
      <w:r>
        <w:tab/>
        <w:t xml:space="preserve">A community water supply well is sampled and a substance is detected and confirmed by resampling; </w:t>
      </w:r>
    </w:p>
    <w:p w:rsidR="00823961" w:rsidRDefault="00823961" w:rsidP="00E248C9">
      <w:pPr>
        <w:widowControl w:val="0"/>
        <w:autoSpaceDE w:val="0"/>
        <w:autoSpaceDN w:val="0"/>
        <w:adjustRightInd w:val="0"/>
        <w:ind w:left="2160" w:hanging="720"/>
      </w:pPr>
    </w:p>
    <w:p w:rsidR="00E248C9" w:rsidRDefault="00E248C9" w:rsidP="00E248C9">
      <w:pPr>
        <w:widowControl w:val="0"/>
        <w:autoSpaceDE w:val="0"/>
        <w:autoSpaceDN w:val="0"/>
        <w:adjustRightInd w:val="0"/>
        <w:ind w:left="2160" w:hanging="720"/>
      </w:pPr>
      <w:r>
        <w:t>2)</w:t>
      </w:r>
      <w:r>
        <w:tab/>
        <w:t xml:space="preserve">There is no standard under Section 620.410 for such chemical substance; and </w:t>
      </w:r>
    </w:p>
    <w:p w:rsidR="00823961" w:rsidRDefault="00823961" w:rsidP="00E248C9">
      <w:pPr>
        <w:widowControl w:val="0"/>
        <w:autoSpaceDE w:val="0"/>
        <w:autoSpaceDN w:val="0"/>
        <w:adjustRightInd w:val="0"/>
        <w:ind w:left="2160" w:hanging="720"/>
      </w:pPr>
    </w:p>
    <w:p w:rsidR="00E248C9" w:rsidRDefault="00E248C9" w:rsidP="00E248C9">
      <w:pPr>
        <w:widowControl w:val="0"/>
        <w:autoSpaceDE w:val="0"/>
        <w:autoSpaceDN w:val="0"/>
        <w:adjustRightInd w:val="0"/>
        <w:ind w:left="2160" w:hanging="720"/>
      </w:pPr>
      <w:r>
        <w:t>3)</w:t>
      </w:r>
      <w:r>
        <w:tab/>
        <w:t xml:space="preserve">The chemical substance is toxic or harmful to human health according to the procedures of Appendix A, B, or C. </w:t>
      </w:r>
    </w:p>
    <w:p w:rsidR="00823961" w:rsidRDefault="00823961" w:rsidP="00E248C9">
      <w:pPr>
        <w:widowControl w:val="0"/>
        <w:autoSpaceDE w:val="0"/>
        <w:autoSpaceDN w:val="0"/>
        <w:adjustRightInd w:val="0"/>
        <w:ind w:left="1440" w:hanging="720"/>
      </w:pPr>
    </w:p>
    <w:p w:rsidR="00E248C9" w:rsidRDefault="00E248C9" w:rsidP="00E248C9">
      <w:pPr>
        <w:widowControl w:val="0"/>
        <w:autoSpaceDE w:val="0"/>
        <w:autoSpaceDN w:val="0"/>
        <w:adjustRightInd w:val="0"/>
        <w:ind w:left="1440" w:hanging="720"/>
      </w:pPr>
      <w:r>
        <w:t>b)</w:t>
      </w:r>
      <w:r>
        <w:tab/>
        <w:t xml:space="preserve">The Health Advisory must contain a general description of the characteristics of the chemical substance, the potential adverse health effects, and a guidance level to be determined as follows: </w:t>
      </w:r>
    </w:p>
    <w:p w:rsidR="00823961" w:rsidRDefault="00823961" w:rsidP="00E248C9">
      <w:pPr>
        <w:widowControl w:val="0"/>
        <w:autoSpaceDE w:val="0"/>
        <w:autoSpaceDN w:val="0"/>
        <w:adjustRightInd w:val="0"/>
        <w:ind w:left="2160" w:hanging="720"/>
      </w:pPr>
    </w:p>
    <w:p w:rsidR="00E248C9" w:rsidRDefault="00E248C9" w:rsidP="00E248C9">
      <w:pPr>
        <w:widowControl w:val="0"/>
        <w:autoSpaceDE w:val="0"/>
        <w:autoSpaceDN w:val="0"/>
        <w:adjustRightInd w:val="0"/>
        <w:ind w:left="2160" w:hanging="720"/>
      </w:pPr>
      <w:r>
        <w:t>1)</w:t>
      </w:r>
      <w:r>
        <w:tab/>
        <w:t xml:space="preserve">If disease or functional impairment is caused due to a physiological mechanism for where there is a threshold dose below which no damage occurs, the guidance level for any such substance shall be the Maximum Contaminant Level Goal (MCLG), adopted by USEPA for such substance, </w:t>
      </w:r>
      <w:r w:rsidR="00354335" w:rsidRPr="00AE2E06">
        <w:t xml:space="preserve">40 CFR 136, </w:t>
      </w:r>
      <w:r w:rsidR="002039E3">
        <w:t>a</w:t>
      </w:r>
      <w:r w:rsidR="00354335" w:rsidRPr="00AE2E06">
        <w:t>ppendix B, 40 CFR 141.80, 40 CFR 141.61, and 40 CFR 141.62</w:t>
      </w:r>
      <w:r>
        <w:t xml:space="preserve">, incorporated by reference at Section 620.125.  If there is no MCLG for the substance, the guidance level is the Human Threshold Toxicant Advisory Concentration for such substance as determined in accordance with Appendix A, unless the concentration for such substance is less than the lowest appropriate PQL specified in "Test Methods for Evaluating Solid Wastes, Physical/Chemical Methods", EPA Publication No. SW-846 (SW-846), incorporated by reference at Section 620.125 for the substance. If the concentration for such substance is less than the lowest appropriate PQL for the substance specified in SW-846, incorporated by reference at Section 620.125, the guidance level is the lowest appropriate PQL. </w:t>
      </w:r>
    </w:p>
    <w:p w:rsidR="00823961" w:rsidRDefault="00823961" w:rsidP="00E248C9">
      <w:pPr>
        <w:widowControl w:val="0"/>
        <w:autoSpaceDE w:val="0"/>
        <w:autoSpaceDN w:val="0"/>
        <w:adjustRightInd w:val="0"/>
        <w:ind w:left="2160" w:hanging="720"/>
      </w:pPr>
    </w:p>
    <w:p w:rsidR="00354335" w:rsidRDefault="00E248C9" w:rsidP="00354335">
      <w:pPr>
        <w:ind w:left="2160" w:hanging="720"/>
      </w:pPr>
      <w:r>
        <w:t>2)</w:t>
      </w:r>
      <w:r>
        <w:tab/>
        <w:t xml:space="preserve">If the chemical substance is a carcinogen, the guidance level for any such chemical substance is the </w:t>
      </w:r>
      <w:r w:rsidR="00354335" w:rsidRPr="00AE2E06">
        <w:t xml:space="preserve">one-in-one-million cancer risk concentration, unless the concentration for such substance is less than the lowest appropriate PQL specified in </w:t>
      </w:r>
      <w:r w:rsidR="002039E3">
        <w:t>"</w:t>
      </w:r>
      <w:r w:rsidR="00354335" w:rsidRPr="00AE2E06">
        <w:t>Test Methods for Evaluating Solid Wastes, Physical/Chemical Methods,</w:t>
      </w:r>
      <w:r w:rsidR="002039E3">
        <w:t>"</w:t>
      </w:r>
      <w:r w:rsidR="00354335" w:rsidRPr="00AE2E06">
        <w:t xml:space="preserve"> EPA Publication No. SW-846 (SW-846), </w:t>
      </w:r>
      <w:r>
        <w:t xml:space="preserve">incorporated by reference at Section 620.125 for such substance. </w:t>
      </w:r>
      <w:r w:rsidR="00354335" w:rsidRPr="00AE2E06">
        <w:t xml:space="preserve">If the concentration for such substance is less than the lowest appropriate PQL for the substance specified in SW-846, the guidance level is the lowest appropriate PQL.  The one-in-one-million cancer risk concentration, the </w:t>
      </w:r>
      <w:r w:rsidR="00354335" w:rsidRPr="00AE2E06">
        <w:lastRenderedPageBreak/>
        <w:t>Human Nonthreshold Toxicant Advisory Concentration (HNTAC), shall be determined according to the following equation:</w:t>
      </w:r>
    </w:p>
    <w:p w:rsidR="00D10EE5" w:rsidRDefault="00D10EE5" w:rsidP="00407999">
      <w:pPr>
        <w:ind w:left="2160" w:right="1260"/>
      </w:pPr>
    </w:p>
    <w:p w:rsidR="00407999" w:rsidRPr="00407999" w:rsidRDefault="00FF20FE" w:rsidP="00407999">
      <w:pPr>
        <w:ind w:left="2160" w:right="1260"/>
        <w:jc w:val="center"/>
        <w:rPr>
          <w:sz w:val="40"/>
          <w:szCs w:val="40"/>
        </w:rPr>
      </w:pPr>
      <m:oMathPara>
        <m:oMath>
          <m:f>
            <m:fPr>
              <m:ctrlPr>
                <w:rPr>
                  <w:rFonts w:ascii="Cambria Math" w:hAnsi="Cambria Math"/>
                  <w:i/>
                </w:rPr>
              </m:ctrlPr>
            </m:fPr>
            <m:num>
              <m:r>
                <w:rPr>
                  <w:rFonts w:ascii="Cambria Math" w:hAnsi="Cambria Math"/>
                </w:rPr>
                <m:t>HNTAC</m:t>
              </m:r>
            </m:num>
            <m:den>
              <m:r>
                <w:rPr>
                  <w:rFonts w:ascii="Cambria Math" w:hAnsi="Cambria Math"/>
                </w:rPr>
                <m:t>(</m:t>
              </m:r>
              <m:f>
                <m:fPr>
                  <m:type m:val="lin"/>
                  <m:ctrlPr>
                    <w:rPr>
                      <w:rFonts w:ascii="Cambria Math" w:hAnsi="Cambria Math"/>
                      <w:i/>
                    </w:rPr>
                  </m:ctrlPr>
                </m:fPr>
                <m:num>
                  <m:r>
                    <w:rPr>
                      <w:rFonts w:ascii="Cambria Math" w:hAnsi="Cambria Math"/>
                    </w:rPr>
                    <m:t>mg</m:t>
                  </m:r>
                </m:num>
                <m:den>
                  <m:r>
                    <w:rPr>
                      <w:rFonts w:ascii="Cambria Math" w:hAnsi="Cambria Math"/>
                    </w:rPr>
                    <m:t>L)</m:t>
                  </m:r>
                </m:den>
              </m:f>
            </m:den>
          </m:f>
          <m:r>
            <w:rPr>
              <w:rFonts w:ascii="Cambria Math" w:hAnsi="Cambria Math"/>
            </w:rPr>
            <m:t>=</m:t>
          </m:r>
          <m:f>
            <m:fPr>
              <m:ctrlPr>
                <w:rPr>
                  <w:rFonts w:ascii="Cambria Math" w:hAnsi="Cambria Math"/>
                  <w:i/>
                </w:rPr>
              </m:ctrlPr>
            </m:fPr>
            <m:num>
              <m:r>
                <w:rPr>
                  <w:rFonts w:ascii="Cambria Math" w:hAnsi="Cambria Math"/>
                </w:rPr>
                <m:t>TR×BW×AT×365 days/year</m:t>
              </m:r>
            </m:num>
            <m:den>
              <m:r>
                <w:rPr>
                  <w:rFonts w:ascii="Cambria Math" w:hAnsi="Cambria Math"/>
                </w:rPr>
                <m:t>SFo×IR×EF×ED</m:t>
              </m:r>
            </m:den>
          </m:f>
        </m:oMath>
      </m:oMathPara>
    </w:p>
    <w:p w:rsidR="00407999" w:rsidRDefault="00407999" w:rsidP="00354335">
      <w:pPr>
        <w:ind w:left="2160"/>
      </w:pPr>
    </w:p>
    <w:p w:rsidR="00354335" w:rsidRPr="00AE2E06" w:rsidRDefault="00354335" w:rsidP="00354335">
      <w:pPr>
        <w:ind w:left="2160"/>
      </w:pPr>
      <w:r w:rsidRPr="00AE2E06">
        <w:t>Where:</w:t>
      </w:r>
    </w:p>
    <w:p w:rsidR="00354335" w:rsidRDefault="00354335" w:rsidP="00354335">
      <w:pPr>
        <w:ind w:left="2160" w:hanging="720"/>
      </w:pPr>
    </w:p>
    <w:tbl>
      <w:tblPr>
        <w:tblW w:w="0" w:type="auto"/>
        <w:tblInd w:w="2511" w:type="dxa"/>
        <w:tblLook w:val="0000" w:firstRow="0" w:lastRow="0" w:firstColumn="0" w:lastColumn="0" w:noHBand="0" w:noVBand="0"/>
      </w:tblPr>
      <w:tblGrid>
        <w:gridCol w:w="540"/>
        <w:gridCol w:w="414"/>
        <w:gridCol w:w="4452"/>
      </w:tblGrid>
      <w:tr w:rsidR="00C72C65" w:rsidTr="00C72C65">
        <w:trPr>
          <w:trHeight w:hRule="exact" w:val="360"/>
        </w:trPr>
        <w:tc>
          <w:tcPr>
            <w:tcW w:w="540" w:type="dxa"/>
          </w:tcPr>
          <w:p w:rsidR="00C72C65" w:rsidRDefault="00C72C65" w:rsidP="00C72C65">
            <w:pPr>
              <w:ind w:left="-81"/>
            </w:pPr>
            <w:r w:rsidRPr="00AE2E06">
              <w:t>TR</w:t>
            </w:r>
          </w:p>
        </w:tc>
        <w:tc>
          <w:tcPr>
            <w:tcW w:w="414" w:type="dxa"/>
          </w:tcPr>
          <w:p w:rsidR="00C72C65" w:rsidRDefault="00C72C65" w:rsidP="00354335">
            <w:r>
              <w:t>=</w:t>
            </w:r>
          </w:p>
        </w:tc>
        <w:tc>
          <w:tcPr>
            <w:tcW w:w="4452" w:type="dxa"/>
            <w:shd w:val="clear" w:color="auto" w:fill="auto"/>
          </w:tcPr>
          <w:p w:rsidR="00C72C65" w:rsidRDefault="00C72C65" w:rsidP="00354335">
            <w:r w:rsidRPr="00AE2E06">
              <w:t>Target Risk</w:t>
            </w:r>
            <w:r>
              <w:t xml:space="preserve"> = </w:t>
            </w:r>
            <w:r w:rsidRPr="00AE2E06">
              <w:t>1.0E-06</w:t>
            </w:r>
          </w:p>
        </w:tc>
      </w:tr>
      <w:tr w:rsidR="00C72C65" w:rsidTr="00C72C65">
        <w:trPr>
          <w:trHeight w:val="360"/>
        </w:trPr>
        <w:tc>
          <w:tcPr>
            <w:tcW w:w="540" w:type="dxa"/>
          </w:tcPr>
          <w:p w:rsidR="00C72C65" w:rsidRDefault="00C72C65" w:rsidP="00C72C65">
            <w:pPr>
              <w:ind w:left="-81"/>
            </w:pPr>
            <w:r w:rsidRPr="00AE2E06">
              <w:t>BW</w:t>
            </w:r>
          </w:p>
        </w:tc>
        <w:tc>
          <w:tcPr>
            <w:tcW w:w="414" w:type="dxa"/>
          </w:tcPr>
          <w:p w:rsidR="00C72C65" w:rsidRDefault="00C72C65" w:rsidP="00354335">
            <w:r>
              <w:t>=</w:t>
            </w:r>
          </w:p>
        </w:tc>
        <w:tc>
          <w:tcPr>
            <w:tcW w:w="4452" w:type="dxa"/>
            <w:shd w:val="clear" w:color="auto" w:fill="auto"/>
          </w:tcPr>
          <w:p w:rsidR="00C72C65" w:rsidRDefault="00C72C65" w:rsidP="00354335">
            <w:r w:rsidRPr="00AE2E06">
              <w:t>Body Weight</w:t>
            </w:r>
            <w:r>
              <w:t xml:space="preserve"> = </w:t>
            </w:r>
            <w:r w:rsidRPr="00AE2E06">
              <w:t>70 kg</w:t>
            </w:r>
          </w:p>
        </w:tc>
      </w:tr>
      <w:tr w:rsidR="00C72C65" w:rsidTr="00C72C65">
        <w:trPr>
          <w:trHeight w:val="360"/>
        </w:trPr>
        <w:tc>
          <w:tcPr>
            <w:tcW w:w="540" w:type="dxa"/>
          </w:tcPr>
          <w:p w:rsidR="00C72C65" w:rsidRDefault="00C72C65" w:rsidP="00C72C65">
            <w:pPr>
              <w:ind w:left="-81"/>
            </w:pPr>
            <w:r w:rsidRPr="00AE2E06">
              <w:t>AT</w:t>
            </w:r>
          </w:p>
        </w:tc>
        <w:tc>
          <w:tcPr>
            <w:tcW w:w="414" w:type="dxa"/>
          </w:tcPr>
          <w:p w:rsidR="00C72C65" w:rsidRDefault="00C72C65" w:rsidP="00354335">
            <w:r>
              <w:t>=</w:t>
            </w:r>
          </w:p>
        </w:tc>
        <w:tc>
          <w:tcPr>
            <w:tcW w:w="4452" w:type="dxa"/>
            <w:shd w:val="clear" w:color="auto" w:fill="auto"/>
          </w:tcPr>
          <w:p w:rsidR="00C72C65" w:rsidRDefault="00C72C65" w:rsidP="00354335">
            <w:r w:rsidRPr="00AE2E06">
              <w:t>Averaging Time</w:t>
            </w:r>
            <w:r>
              <w:t xml:space="preserve"> = </w:t>
            </w:r>
            <w:r w:rsidRPr="00AE2E06">
              <w:t>70 years</w:t>
            </w:r>
          </w:p>
        </w:tc>
      </w:tr>
      <w:tr w:rsidR="00C72C65" w:rsidTr="00C72C65">
        <w:trPr>
          <w:trHeight w:val="360"/>
        </w:trPr>
        <w:tc>
          <w:tcPr>
            <w:tcW w:w="540" w:type="dxa"/>
          </w:tcPr>
          <w:p w:rsidR="00C72C65" w:rsidRDefault="00C72C65" w:rsidP="00C72C65">
            <w:pPr>
              <w:ind w:left="-81"/>
            </w:pPr>
            <w:r w:rsidRPr="00AE2E06">
              <w:t>SFo</w:t>
            </w:r>
          </w:p>
        </w:tc>
        <w:tc>
          <w:tcPr>
            <w:tcW w:w="414" w:type="dxa"/>
          </w:tcPr>
          <w:p w:rsidR="00C72C65" w:rsidRDefault="00C72C65" w:rsidP="00354335">
            <w:r>
              <w:t>=</w:t>
            </w:r>
          </w:p>
        </w:tc>
        <w:tc>
          <w:tcPr>
            <w:tcW w:w="4452" w:type="dxa"/>
            <w:shd w:val="clear" w:color="auto" w:fill="auto"/>
          </w:tcPr>
          <w:p w:rsidR="00C72C65" w:rsidRDefault="00C72C65" w:rsidP="00354335">
            <w:r w:rsidRPr="00AE2E06">
              <w:t>Oral Slope Factor</w:t>
            </w:r>
            <w:r>
              <w:t xml:space="preserve"> = </w:t>
            </w:r>
            <w:r w:rsidRPr="00AE2E06">
              <w:t>Chemical-specific</w:t>
            </w:r>
          </w:p>
        </w:tc>
      </w:tr>
      <w:tr w:rsidR="00C72C65" w:rsidTr="00C72C65">
        <w:trPr>
          <w:trHeight w:val="360"/>
        </w:trPr>
        <w:tc>
          <w:tcPr>
            <w:tcW w:w="540" w:type="dxa"/>
          </w:tcPr>
          <w:p w:rsidR="00C72C65" w:rsidRDefault="00C72C65" w:rsidP="00C72C65">
            <w:pPr>
              <w:ind w:left="-81"/>
            </w:pPr>
            <w:r w:rsidRPr="00AE2E06">
              <w:t>IR</w:t>
            </w:r>
          </w:p>
        </w:tc>
        <w:tc>
          <w:tcPr>
            <w:tcW w:w="414" w:type="dxa"/>
          </w:tcPr>
          <w:p w:rsidR="00C72C65" w:rsidRDefault="00C72C65" w:rsidP="00354335">
            <w:r>
              <w:t>=</w:t>
            </w:r>
          </w:p>
        </w:tc>
        <w:tc>
          <w:tcPr>
            <w:tcW w:w="4452" w:type="dxa"/>
            <w:shd w:val="clear" w:color="auto" w:fill="auto"/>
          </w:tcPr>
          <w:p w:rsidR="00C72C65" w:rsidRDefault="00C72C65" w:rsidP="00354335">
            <w:r w:rsidRPr="00AE2E06">
              <w:t>Daily Water Ingestion Rate</w:t>
            </w:r>
            <w:r>
              <w:t xml:space="preserve"> = </w:t>
            </w:r>
            <w:r w:rsidRPr="00AE2E06">
              <w:t>2 liters/day</w:t>
            </w:r>
          </w:p>
        </w:tc>
      </w:tr>
      <w:tr w:rsidR="00C72C65" w:rsidTr="00C72C65">
        <w:trPr>
          <w:trHeight w:val="360"/>
        </w:trPr>
        <w:tc>
          <w:tcPr>
            <w:tcW w:w="540" w:type="dxa"/>
          </w:tcPr>
          <w:p w:rsidR="00C72C65" w:rsidRDefault="00C72C65" w:rsidP="00C72C65">
            <w:pPr>
              <w:ind w:left="-81"/>
            </w:pPr>
            <w:r w:rsidRPr="00AE2E06">
              <w:t>EF</w:t>
            </w:r>
          </w:p>
        </w:tc>
        <w:tc>
          <w:tcPr>
            <w:tcW w:w="414" w:type="dxa"/>
          </w:tcPr>
          <w:p w:rsidR="00C72C65" w:rsidRDefault="00C72C65" w:rsidP="00354335">
            <w:r>
              <w:t>=</w:t>
            </w:r>
          </w:p>
        </w:tc>
        <w:tc>
          <w:tcPr>
            <w:tcW w:w="4452" w:type="dxa"/>
            <w:shd w:val="clear" w:color="auto" w:fill="auto"/>
          </w:tcPr>
          <w:p w:rsidR="00C72C65" w:rsidRDefault="00C72C65" w:rsidP="00354335">
            <w:r w:rsidRPr="00AE2E06">
              <w:t>Exposure Frequency</w:t>
            </w:r>
            <w:r>
              <w:t xml:space="preserve"> = </w:t>
            </w:r>
            <w:r w:rsidRPr="00AE2E06">
              <w:t>350 days/year</w:t>
            </w:r>
          </w:p>
        </w:tc>
      </w:tr>
      <w:tr w:rsidR="00C72C65" w:rsidTr="00C72C65">
        <w:trPr>
          <w:trHeight w:val="360"/>
        </w:trPr>
        <w:tc>
          <w:tcPr>
            <w:tcW w:w="540" w:type="dxa"/>
          </w:tcPr>
          <w:p w:rsidR="00C72C65" w:rsidRDefault="00C72C65" w:rsidP="00C72C65">
            <w:pPr>
              <w:ind w:left="-81"/>
            </w:pPr>
            <w:r w:rsidRPr="00AE2E06">
              <w:t>ED</w:t>
            </w:r>
          </w:p>
        </w:tc>
        <w:tc>
          <w:tcPr>
            <w:tcW w:w="414" w:type="dxa"/>
          </w:tcPr>
          <w:p w:rsidR="00C72C65" w:rsidRDefault="00C72C65" w:rsidP="00354335">
            <w:r>
              <w:t>=</w:t>
            </w:r>
          </w:p>
        </w:tc>
        <w:tc>
          <w:tcPr>
            <w:tcW w:w="4452" w:type="dxa"/>
            <w:shd w:val="clear" w:color="auto" w:fill="auto"/>
          </w:tcPr>
          <w:p w:rsidR="00C72C65" w:rsidRDefault="00C72C65" w:rsidP="00354335">
            <w:r w:rsidRPr="00AE2E06">
              <w:t>Exposure Duration</w:t>
            </w:r>
            <w:r>
              <w:t xml:space="preserve"> = </w:t>
            </w:r>
            <w:r w:rsidRPr="00AE2E06">
              <w:t>30 years</w:t>
            </w:r>
          </w:p>
        </w:tc>
      </w:tr>
    </w:tbl>
    <w:p w:rsidR="002039E3" w:rsidRDefault="002039E3" w:rsidP="00354335">
      <w:pPr>
        <w:ind w:left="2160" w:hanging="720"/>
      </w:pPr>
    </w:p>
    <w:p w:rsidR="00354335" w:rsidRPr="00D55B37" w:rsidRDefault="00354335">
      <w:pPr>
        <w:pStyle w:val="JCARSourceNote"/>
        <w:ind w:left="720"/>
      </w:pPr>
      <w:r w:rsidRPr="00D55B37">
        <w:t xml:space="preserve">(Source:  </w:t>
      </w:r>
      <w:r>
        <w:t>Amended</w:t>
      </w:r>
      <w:r w:rsidRPr="00D55B37">
        <w:t xml:space="preserve"> at </w:t>
      </w:r>
      <w:r>
        <w:t>36 I</w:t>
      </w:r>
      <w:r w:rsidRPr="00D55B37">
        <w:t xml:space="preserve">ll. Reg. </w:t>
      </w:r>
      <w:r w:rsidR="00FF20FE">
        <w:t>15206</w:t>
      </w:r>
      <w:r w:rsidRPr="00D55B37">
        <w:t xml:space="preserve">, effective </w:t>
      </w:r>
      <w:bookmarkStart w:id="0" w:name="_GoBack"/>
      <w:r w:rsidR="00FF20FE">
        <w:t>October 5, 2012</w:t>
      </w:r>
      <w:bookmarkEnd w:id="0"/>
      <w:r w:rsidRPr="00D55B37">
        <w:t>)</w:t>
      </w:r>
    </w:p>
    <w:sectPr w:rsidR="00354335" w:rsidRPr="00D55B37" w:rsidSect="00E248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48C9"/>
    <w:rsid w:val="000275CC"/>
    <w:rsid w:val="00143945"/>
    <w:rsid w:val="002039E3"/>
    <w:rsid w:val="00354335"/>
    <w:rsid w:val="00407999"/>
    <w:rsid w:val="005108B2"/>
    <w:rsid w:val="005C3366"/>
    <w:rsid w:val="005E1631"/>
    <w:rsid w:val="006939F7"/>
    <w:rsid w:val="007841CD"/>
    <w:rsid w:val="007C37CA"/>
    <w:rsid w:val="00823961"/>
    <w:rsid w:val="009F22E9"/>
    <w:rsid w:val="00C72C65"/>
    <w:rsid w:val="00D10EE5"/>
    <w:rsid w:val="00E248C9"/>
    <w:rsid w:val="00E93207"/>
    <w:rsid w:val="00FF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54335"/>
  </w:style>
  <w:style w:type="character" w:styleId="PlaceholderText">
    <w:name w:val="Placeholder Text"/>
    <w:basedOn w:val="DefaultParagraphFont"/>
    <w:uiPriority w:val="99"/>
    <w:semiHidden/>
    <w:rsid w:val="00D10E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54335"/>
  </w:style>
  <w:style w:type="character" w:styleId="PlaceholderText">
    <w:name w:val="Placeholder Text"/>
    <w:basedOn w:val="DefaultParagraphFont"/>
    <w:uiPriority w:val="99"/>
    <w:semiHidden/>
    <w:rsid w:val="00D10E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Sabo, Cheryl E.</cp:lastModifiedBy>
  <cp:revision>3</cp:revision>
  <cp:lastPrinted>2012-08-23T15:24:00Z</cp:lastPrinted>
  <dcterms:created xsi:type="dcterms:W3CDTF">2012-08-23T21:18:00Z</dcterms:created>
  <dcterms:modified xsi:type="dcterms:W3CDTF">2012-10-12T18:36:00Z</dcterms:modified>
</cp:coreProperties>
</file>