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5C" w:rsidRDefault="0004425C" w:rsidP="000442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25C" w:rsidRDefault="0004425C" w:rsidP="0004425C">
      <w:pPr>
        <w:widowControl w:val="0"/>
        <w:autoSpaceDE w:val="0"/>
        <w:autoSpaceDN w:val="0"/>
        <w:adjustRightInd w:val="0"/>
      </w:pPr>
      <w:r>
        <w:t xml:space="preserve">SOURCE:  Adopted December 30, 1974; amended at 2 Ill. Reg. 51, p. 219, effective December 17, 1978; rules repealed and new rules adopted and codified at 8 Ill. Reg. 8450, effective June 5, 1984; amended at 23 Ill. Reg. </w:t>
      </w:r>
      <w:r w:rsidR="001D78D0">
        <w:t xml:space="preserve">8982, effective July 29, 1999. </w:t>
      </w:r>
    </w:p>
    <w:sectPr w:rsidR="0004425C" w:rsidSect="000442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25C"/>
    <w:rsid w:val="0004425C"/>
    <w:rsid w:val="00134A4A"/>
    <w:rsid w:val="001422C9"/>
    <w:rsid w:val="001D78D0"/>
    <w:rsid w:val="005C3366"/>
    <w:rsid w:val="008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30, 1974; amended at 2 Ill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30, 1974; amended at 2 Ill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