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9F" w:rsidRDefault="00532B9F" w:rsidP="002C2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B9F" w:rsidRDefault="00532B9F" w:rsidP="002C2DAC">
      <w:pPr>
        <w:widowControl w:val="0"/>
        <w:autoSpaceDE w:val="0"/>
        <w:autoSpaceDN w:val="0"/>
        <w:adjustRightInd w:val="0"/>
        <w:jc w:val="center"/>
      </w:pPr>
      <w:r>
        <w:t>SUBPART B:  PROCEDURES FOR DETERMINING THE LATERAL AREA OF INFLUENCE OF WELLS UNDER NORMAL OPERATIONAL CONDITIONS</w:t>
      </w:r>
    </w:p>
    <w:sectPr w:rsidR="00532B9F" w:rsidSect="002C2DA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B9F"/>
    <w:rsid w:val="002C2DAC"/>
    <w:rsid w:val="00532B9F"/>
    <w:rsid w:val="007F26A2"/>
    <w:rsid w:val="0098157E"/>
    <w:rsid w:val="00F27BDA"/>
    <w:rsid w:val="00F4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DETERMINING THE LATERAL AREA OF INFLUENCE OF WELLS UNDER NORMAL OPERATIONAL CONDITIONS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DETERMINING THE LATERAL AREA OF INFLUENCE OF WELLS UNDER NORMAL OPERATIONAL CONDITIONS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