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AA" w:rsidRDefault="006C7CAA" w:rsidP="006C7C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7CAA" w:rsidRDefault="006C7CAA" w:rsidP="006C7C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671.305  Adoption of a Maximum Setback Zone Ordinance</w:t>
      </w:r>
      <w:r>
        <w:t xml:space="preserve"> </w:t>
      </w:r>
    </w:p>
    <w:p w:rsidR="006C7CAA" w:rsidRDefault="006C7CAA" w:rsidP="006C7CAA">
      <w:pPr>
        <w:widowControl w:val="0"/>
        <w:autoSpaceDE w:val="0"/>
        <w:autoSpaceDN w:val="0"/>
        <w:adjustRightInd w:val="0"/>
      </w:pPr>
    </w:p>
    <w:p w:rsidR="006C7CAA" w:rsidRDefault="006C7CAA" w:rsidP="006C7CA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Upon receipt of Agency confirmation of the technical adequacy of</w:t>
      </w:r>
      <w:r>
        <w:t xml:space="preserve"> the </w:t>
      </w:r>
      <w:r>
        <w:rPr>
          <w:i/>
          <w:iCs/>
        </w:rPr>
        <w:t>determination</w:t>
      </w:r>
      <w:r>
        <w:t xml:space="preserve"> under Section 14.3(b) of the Act, </w:t>
      </w:r>
      <w:r>
        <w:rPr>
          <w:i/>
          <w:iCs/>
        </w:rPr>
        <w:t>the county or municipality may, after notice and opportunity for comment, adopt an ordinance setting forth the location of each affected well and specifying the boundaries of a maximum setback zone, which boundaries may be irregular.  In no event, however, shall any portion of such a boundary be in excess of 1,000 feet from the wellhead.</w:t>
      </w:r>
      <w:r>
        <w:t xml:space="preserve">  (Section 14.3(c) of the Act). </w:t>
      </w:r>
    </w:p>
    <w:p w:rsidR="00462D5A" w:rsidRDefault="00462D5A" w:rsidP="006C7CAA">
      <w:pPr>
        <w:widowControl w:val="0"/>
        <w:autoSpaceDE w:val="0"/>
        <w:autoSpaceDN w:val="0"/>
        <w:adjustRightInd w:val="0"/>
        <w:ind w:left="1440" w:hanging="720"/>
      </w:pPr>
    </w:p>
    <w:p w:rsidR="006C7CAA" w:rsidRDefault="006C7CAA" w:rsidP="006C7CA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Such ordinance shall include the area within the applicable minimum setback zone and shall incorporate requirements which are consistent with but not more  stringent than the prohibitions of</w:t>
      </w:r>
      <w:r>
        <w:t xml:space="preserve"> the </w:t>
      </w:r>
      <w:r>
        <w:rPr>
          <w:i/>
          <w:iCs/>
        </w:rPr>
        <w:t xml:space="preserve">Act and the regulations promulgated by the Board under Section 14.4 </w:t>
      </w:r>
      <w:r w:rsidRPr="00F6575F">
        <w:t>of the Act</w:t>
      </w:r>
      <w:r>
        <w:rPr>
          <w:i/>
          <w:iCs/>
        </w:rPr>
        <w:t>. (Section 14.3(c) of the Act)</w:t>
      </w:r>
      <w:r>
        <w:t xml:space="preserve">. </w:t>
      </w:r>
    </w:p>
    <w:p w:rsidR="00462D5A" w:rsidRDefault="00462D5A" w:rsidP="006C7CAA">
      <w:pPr>
        <w:widowControl w:val="0"/>
        <w:autoSpaceDE w:val="0"/>
        <w:autoSpaceDN w:val="0"/>
        <w:adjustRightInd w:val="0"/>
        <w:ind w:left="1440" w:hanging="720"/>
      </w:pPr>
    </w:p>
    <w:p w:rsidR="006C7CAA" w:rsidRDefault="006C7CAA" w:rsidP="006C7CA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Upon adoption, the county or municipality shall provide a copy of the ordinance to the Agency.</w:t>
      </w:r>
      <w:r>
        <w:t xml:space="preserve">  (Section 14.3(c) of the Act). </w:t>
      </w:r>
    </w:p>
    <w:p w:rsidR="00462D5A" w:rsidRDefault="00462D5A" w:rsidP="006C7CAA">
      <w:pPr>
        <w:widowControl w:val="0"/>
        <w:autoSpaceDE w:val="0"/>
        <w:autoSpaceDN w:val="0"/>
        <w:adjustRightInd w:val="0"/>
        <w:ind w:left="1440" w:hanging="720"/>
      </w:pPr>
    </w:p>
    <w:p w:rsidR="006C7CAA" w:rsidRDefault="006C7CAA" w:rsidP="006C7CA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Any county or municipality which fails to adopt such an ordinance within 2 years of receipt of agency confirmation of technical adequ</w:t>
      </w:r>
      <w:r w:rsidR="00F6575F">
        <w:rPr>
          <w:i/>
          <w:iCs/>
        </w:rPr>
        <w:t>a</w:t>
      </w:r>
      <w:r>
        <w:rPr>
          <w:i/>
          <w:iCs/>
        </w:rPr>
        <w:t>cy may not proceed under the authority of</w:t>
      </w:r>
      <w:r>
        <w:t xml:space="preserve"> Section 14.3 of the Act </w:t>
      </w:r>
      <w:r>
        <w:rPr>
          <w:i/>
          <w:iCs/>
        </w:rPr>
        <w:t>without obtaining a new confirmation of the technical ad</w:t>
      </w:r>
      <w:r w:rsidR="00F6575F">
        <w:rPr>
          <w:i/>
          <w:iCs/>
        </w:rPr>
        <w:t>e</w:t>
      </w:r>
      <w:r>
        <w:rPr>
          <w:i/>
          <w:iCs/>
        </w:rPr>
        <w:t>quacy pursuant to</w:t>
      </w:r>
      <w:r>
        <w:t xml:space="preserve"> Section 14.3(b) of the Act.  (Section 14.3(c) of the Act) </w:t>
      </w:r>
    </w:p>
    <w:sectPr w:rsidR="006C7CAA" w:rsidSect="006C7C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7CAA"/>
    <w:rsid w:val="00462D5A"/>
    <w:rsid w:val="005C3366"/>
    <w:rsid w:val="006C7CAA"/>
    <w:rsid w:val="00B53ED6"/>
    <w:rsid w:val="00B976E8"/>
    <w:rsid w:val="00D41D24"/>
    <w:rsid w:val="00F6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671</vt:lpstr>
    </vt:vector>
  </TitlesOfParts>
  <Company>State of Illinois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671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