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25" w:rsidRDefault="00924125" w:rsidP="009241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4125" w:rsidRDefault="00924125" w:rsidP="009241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671.306  Changing a Maximum Setback Zone</w:t>
      </w:r>
      <w:r>
        <w:t xml:space="preserve"> </w:t>
      </w:r>
    </w:p>
    <w:p w:rsidR="00924125" w:rsidRDefault="00924125" w:rsidP="00924125">
      <w:pPr>
        <w:widowControl w:val="0"/>
        <w:autoSpaceDE w:val="0"/>
        <w:autoSpaceDN w:val="0"/>
        <w:adjustRightInd w:val="0"/>
      </w:pPr>
    </w:p>
    <w:p w:rsidR="00924125" w:rsidRDefault="00924125" w:rsidP="00924125">
      <w:pPr>
        <w:widowControl w:val="0"/>
        <w:autoSpaceDE w:val="0"/>
        <w:autoSpaceDN w:val="0"/>
        <w:adjustRightInd w:val="0"/>
      </w:pPr>
      <w:r>
        <w:t xml:space="preserve">If a county or municipality has established a maximum setback zone by ordinance, the county or municipality shall, upon adoption, provide a copy to the Agency of each ordinance which in any way modifies the maximum setback zone. </w:t>
      </w:r>
    </w:p>
    <w:sectPr w:rsidR="00924125" w:rsidSect="009241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125"/>
    <w:rsid w:val="001C175C"/>
    <w:rsid w:val="00585D6B"/>
    <w:rsid w:val="005C3366"/>
    <w:rsid w:val="007203F7"/>
    <w:rsid w:val="009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671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671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