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0D" w:rsidRDefault="00CB077B" w:rsidP="00D0260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0260D">
        <w:rPr>
          <w:b/>
          <w:bCs/>
        </w:rPr>
        <w:lastRenderedPageBreak/>
        <w:t xml:space="preserve">Section 671.APPENDIX C </w:t>
      </w:r>
      <w:r>
        <w:rPr>
          <w:b/>
          <w:bCs/>
        </w:rPr>
        <w:t xml:space="preserve"> </w:t>
      </w:r>
      <w:r w:rsidR="00D0260D">
        <w:rPr>
          <w:b/>
          <w:bCs/>
        </w:rPr>
        <w:t xml:space="preserve"> Todd Uniform Flow Equation</w:t>
      </w:r>
      <w:r w:rsidR="00D0260D">
        <w:t xml:space="preserve"> </w:t>
      </w:r>
    </w:p>
    <w:p w:rsidR="00D0260D" w:rsidRDefault="00D0260D" w:rsidP="00D0260D">
      <w:pPr>
        <w:widowControl w:val="0"/>
        <w:autoSpaceDE w:val="0"/>
        <w:autoSpaceDN w:val="0"/>
        <w:adjustRightInd w:val="0"/>
      </w:pPr>
    </w:p>
    <w:p w:rsidR="00D0260D" w:rsidRDefault="00D0260D" w:rsidP="00D0260D">
      <w:pPr>
        <w:widowControl w:val="0"/>
        <w:autoSpaceDE w:val="0"/>
        <w:autoSpaceDN w:val="0"/>
        <w:adjustRightInd w:val="0"/>
      </w:pPr>
      <w:r>
        <w:t xml:space="preserve">If hydrogeologic information (e.g., transmissivity, porosity, hydraulic gradient, hydraulic conductivity, and saturated thickness of the aquifer) is available the lateral area of influence can be calculated for unconfined/confined unconsolidated or non-fractured bedrock aquifers as follows: </w:t>
      </w:r>
    </w:p>
    <w:p w:rsidR="00D0260D" w:rsidRDefault="00D0260D" w:rsidP="00D0260D">
      <w:pPr>
        <w:widowControl w:val="0"/>
        <w:autoSpaceDE w:val="0"/>
        <w:autoSpaceDN w:val="0"/>
        <w:adjustRightInd w:val="0"/>
      </w:pPr>
    </w:p>
    <w:tbl>
      <w:tblPr>
        <w:tblW w:w="0" w:type="auto"/>
        <w:tblInd w:w="741" w:type="dxa"/>
        <w:tblLayout w:type="fixed"/>
        <w:tblLook w:val="0000" w:firstRow="0" w:lastRow="0" w:firstColumn="0" w:lastColumn="0" w:noHBand="0" w:noVBand="0"/>
      </w:tblPr>
      <w:tblGrid>
        <w:gridCol w:w="510"/>
        <w:gridCol w:w="472"/>
        <w:gridCol w:w="834"/>
        <w:gridCol w:w="1026"/>
        <w:gridCol w:w="360"/>
        <w:gridCol w:w="440"/>
        <w:gridCol w:w="912"/>
      </w:tblGrid>
      <w:tr w:rsidR="00CB077B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vAlign w:val="center"/>
          </w:tcPr>
          <w:p w:rsidR="00CB077B" w:rsidRDefault="00CB077B" w:rsidP="00D0260D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472" w:type="dxa"/>
            <w:vMerge w:val="restart"/>
            <w:vAlign w:val="center"/>
          </w:tcPr>
          <w:p w:rsidR="00CB077B" w:rsidRDefault="00CB077B" w:rsidP="003F79CA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CB077B" w:rsidRPr="00CB077B" w:rsidRDefault="00CB077B" w:rsidP="003F79CA">
            <w:pPr>
              <w:widowControl w:val="0"/>
              <w:autoSpaceDE w:val="0"/>
              <w:autoSpaceDN w:val="0"/>
              <w:adjustRightInd w:val="0"/>
              <w:ind w:right="-216"/>
            </w:pPr>
            <w:r w:rsidRPr="00CB077B">
              <w:t>1.19</w:t>
            </w:r>
            <w:r>
              <w:t xml:space="preserve"> </w:t>
            </w:r>
            <w:r w:rsidRPr="00CB077B">
              <w:t>Q</w:t>
            </w:r>
          </w:p>
        </w:tc>
        <w:tc>
          <w:tcPr>
            <w:tcW w:w="1026" w:type="dxa"/>
            <w:vMerge w:val="restart"/>
            <w:vAlign w:val="center"/>
          </w:tcPr>
          <w:p w:rsidR="00CB077B" w:rsidRPr="003F79CA" w:rsidRDefault="00CB077B" w:rsidP="003F79CA">
            <w:pPr>
              <w:widowControl w:val="0"/>
              <w:autoSpaceDE w:val="0"/>
              <w:autoSpaceDN w:val="0"/>
              <w:adjustRightInd w:val="0"/>
              <w:ind w:right="-216"/>
              <w:rPr>
                <w:u w:val="single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CB077B" w:rsidRPr="003F79CA" w:rsidRDefault="00CB077B" w:rsidP="00CB077B">
            <w:pPr>
              <w:widowControl w:val="0"/>
              <w:autoSpaceDE w:val="0"/>
              <w:autoSpaceDN w:val="0"/>
              <w:adjustRightInd w:val="0"/>
              <w:ind w:left="-106" w:right="-216"/>
            </w:pPr>
            <w:r>
              <w:t>Y</w:t>
            </w:r>
          </w:p>
        </w:tc>
        <w:tc>
          <w:tcPr>
            <w:tcW w:w="440" w:type="dxa"/>
            <w:vMerge w:val="restart"/>
            <w:vAlign w:val="center"/>
          </w:tcPr>
          <w:p w:rsidR="00CB077B" w:rsidRPr="003F79CA" w:rsidRDefault="00CB077B" w:rsidP="00CB077B">
            <w:pPr>
              <w:widowControl w:val="0"/>
              <w:autoSpaceDE w:val="0"/>
              <w:autoSpaceDN w:val="0"/>
              <w:adjustRightInd w:val="0"/>
              <w:ind w:left="-124" w:right="-108"/>
              <w:jc w:val="center"/>
            </w:pPr>
            <w:r>
              <w:t>=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CB077B" w:rsidRPr="00CB077B" w:rsidRDefault="00CB077B" w:rsidP="00CB077B">
            <w:pPr>
              <w:widowControl w:val="0"/>
              <w:autoSpaceDE w:val="0"/>
              <w:autoSpaceDN w:val="0"/>
              <w:adjustRightInd w:val="0"/>
              <w:ind w:left="-75" w:right="-130"/>
              <w:jc w:val="center"/>
            </w:pPr>
            <w:r>
              <w:t xml:space="preserve">7.48 </w:t>
            </w:r>
            <w:r w:rsidRPr="00CB077B">
              <w:t>Q</w:t>
            </w:r>
          </w:p>
        </w:tc>
      </w:tr>
      <w:tr w:rsidR="00CB077B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vAlign w:val="center"/>
          </w:tcPr>
          <w:p w:rsidR="00CB077B" w:rsidRDefault="00CB077B" w:rsidP="00D026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2" w:type="dxa"/>
            <w:vMerge/>
            <w:vAlign w:val="center"/>
          </w:tcPr>
          <w:p w:rsidR="00CB077B" w:rsidRDefault="00CB077B" w:rsidP="00D026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:rsidR="00CB077B" w:rsidRDefault="00CB077B" w:rsidP="003F7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</w:t>
            </w:r>
          </w:p>
        </w:tc>
        <w:tc>
          <w:tcPr>
            <w:tcW w:w="1026" w:type="dxa"/>
            <w:vMerge/>
            <w:vAlign w:val="center"/>
          </w:tcPr>
          <w:p w:rsidR="00CB077B" w:rsidRDefault="00CB077B" w:rsidP="003F7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CB077B" w:rsidRDefault="00CB077B" w:rsidP="00CB077B">
            <w:pPr>
              <w:widowControl w:val="0"/>
              <w:autoSpaceDE w:val="0"/>
              <w:autoSpaceDN w:val="0"/>
              <w:adjustRightInd w:val="0"/>
              <w:ind w:left="-106" w:right="-216"/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CB077B" w:rsidRDefault="00CB077B" w:rsidP="00CB077B">
            <w:pPr>
              <w:widowControl w:val="0"/>
              <w:autoSpaceDE w:val="0"/>
              <w:autoSpaceDN w:val="0"/>
              <w:adjustRightInd w:val="0"/>
              <w:ind w:left="-124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CB077B" w:rsidRDefault="00CB077B" w:rsidP="00CB077B">
            <w:pPr>
              <w:widowControl w:val="0"/>
              <w:autoSpaceDE w:val="0"/>
              <w:autoSpaceDN w:val="0"/>
              <w:adjustRightInd w:val="0"/>
              <w:ind w:left="-75" w:right="-130"/>
              <w:jc w:val="center"/>
            </w:pPr>
            <w:r>
              <w:t>Ti</w:t>
            </w:r>
          </w:p>
        </w:tc>
      </w:tr>
    </w:tbl>
    <w:p w:rsidR="003F79CA" w:rsidRDefault="003F79CA" w:rsidP="00D0260D">
      <w:pPr>
        <w:widowControl w:val="0"/>
        <w:autoSpaceDE w:val="0"/>
        <w:autoSpaceDN w:val="0"/>
        <w:adjustRightInd w:val="0"/>
      </w:pPr>
    </w:p>
    <w:p w:rsidR="00CB077B" w:rsidRDefault="00CB077B" w:rsidP="00CB077B">
      <w:pPr>
        <w:widowControl w:val="0"/>
        <w:autoSpaceDE w:val="0"/>
        <w:autoSpaceDN w:val="0"/>
        <w:adjustRightInd w:val="0"/>
        <w:ind w:firstLine="720"/>
      </w:pPr>
      <w:r>
        <w:t>where</w:t>
      </w:r>
    </w:p>
    <w:p w:rsidR="00CB077B" w:rsidRDefault="00CB077B" w:rsidP="00D0260D">
      <w:pPr>
        <w:widowControl w:val="0"/>
        <w:autoSpaceDE w:val="0"/>
        <w:autoSpaceDN w:val="0"/>
        <w:adjustRightInd w:val="0"/>
      </w:pPr>
    </w:p>
    <w:tbl>
      <w:tblPr>
        <w:tblW w:w="8874" w:type="dxa"/>
        <w:tblInd w:w="1116" w:type="dxa"/>
        <w:tblLook w:val="0000" w:firstRow="0" w:lastRow="0" w:firstColumn="0" w:lastColumn="0" w:noHBand="0" w:noVBand="0"/>
      </w:tblPr>
      <w:tblGrid>
        <w:gridCol w:w="477"/>
        <w:gridCol w:w="387"/>
        <w:gridCol w:w="8010"/>
      </w:tblGrid>
      <w:tr w:rsidR="003F79CA">
        <w:tblPrEx>
          <w:tblCellMar>
            <w:top w:w="0" w:type="dxa"/>
            <w:bottom w:w="0" w:type="dxa"/>
          </w:tblCellMar>
        </w:tblPrEx>
        <w:tc>
          <w:tcPr>
            <w:tcW w:w="477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Q</w:t>
            </w:r>
          </w:p>
        </w:tc>
        <w:tc>
          <w:tcPr>
            <w:tcW w:w="387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8010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daily flow from the well under normal operational conditions (cubic feet per day</w:t>
            </w:r>
            <w:r w:rsidR="00BE7384">
              <w:t>)</w:t>
            </w:r>
          </w:p>
        </w:tc>
      </w:tr>
      <w:tr w:rsidR="003F79CA">
        <w:tblPrEx>
          <w:tblCellMar>
            <w:top w:w="0" w:type="dxa"/>
            <w:bottom w:w="0" w:type="dxa"/>
          </w:tblCellMar>
        </w:tblPrEx>
        <w:tc>
          <w:tcPr>
            <w:tcW w:w="477" w:type="dxa"/>
          </w:tcPr>
          <w:p w:rsidR="003F79CA" w:rsidRDefault="003F79CA" w:rsidP="003F79CA">
            <w:pPr>
              <w:widowControl w:val="0"/>
              <w:autoSpaceDE w:val="0"/>
              <w:autoSpaceDN w:val="0"/>
              <w:adjustRightInd w:val="0"/>
            </w:pPr>
            <w:r>
              <w:t>i</w:t>
            </w:r>
          </w:p>
        </w:tc>
        <w:tc>
          <w:tcPr>
            <w:tcW w:w="387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8010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hydraulic gradient of the water table or potentiometric surface</w:t>
            </w:r>
          </w:p>
        </w:tc>
      </w:tr>
      <w:tr w:rsidR="003F79CA">
        <w:tblPrEx>
          <w:tblCellMar>
            <w:top w:w="0" w:type="dxa"/>
            <w:bottom w:w="0" w:type="dxa"/>
          </w:tblCellMar>
        </w:tblPrEx>
        <w:tc>
          <w:tcPr>
            <w:tcW w:w="477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T</w:t>
            </w:r>
          </w:p>
        </w:tc>
        <w:tc>
          <w:tcPr>
            <w:tcW w:w="387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8010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aquifer transmissivity (gallons per day per foot)</w:t>
            </w:r>
          </w:p>
        </w:tc>
      </w:tr>
      <w:tr w:rsidR="003F79CA">
        <w:tblPrEx>
          <w:tblCellMar>
            <w:top w:w="0" w:type="dxa"/>
            <w:bottom w:w="0" w:type="dxa"/>
          </w:tblCellMar>
        </w:tblPrEx>
        <w:tc>
          <w:tcPr>
            <w:tcW w:w="477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387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8010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Lateral area of influence or down gradient divide (feet)</w:t>
            </w:r>
          </w:p>
        </w:tc>
      </w:tr>
      <w:tr w:rsidR="003F79CA">
        <w:tblPrEx>
          <w:tblCellMar>
            <w:top w:w="0" w:type="dxa"/>
            <w:bottom w:w="0" w:type="dxa"/>
          </w:tblCellMar>
        </w:tblPrEx>
        <w:tc>
          <w:tcPr>
            <w:tcW w:w="477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Y</w:t>
            </w:r>
          </w:p>
        </w:tc>
        <w:tc>
          <w:tcPr>
            <w:tcW w:w="387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8010" w:type="dxa"/>
          </w:tcPr>
          <w:p w:rsidR="003F79CA" w:rsidRDefault="003F79CA" w:rsidP="00D0260D">
            <w:pPr>
              <w:widowControl w:val="0"/>
              <w:autoSpaceDE w:val="0"/>
              <w:autoSpaceDN w:val="0"/>
              <w:adjustRightInd w:val="0"/>
            </w:pPr>
            <w:r>
              <w:t>Maximum width of the lateral area of influence or the maximum width of the influx zone (feet)</w:t>
            </w:r>
          </w:p>
        </w:tc>
      </w:tr>
    </w:tbl>
    <w:p w:rsidR="00D0260D" w:rsidRDefault="00D0260D" w:rsidP="00D0260D">
      <w:pPr>
        <w:widowControl w:val="0"/>
        <w:autoSpaceDE w:val="0"/>
        <w:autoSpaceDN w:val="0"/>
        <w:adjustRightInd w:val="0"/>
      </w:pPr>
    </w:p>
    <w:p w:rsidR="003F79CA" w:rsidRDefault="003F79CA" w:rsidP="00D0260D">
      <w:pPr>
        <w:widowControl w:val="0"/>
        <w:autoSpaceDE w:val="0"/>
        <w:autoSpaceDN w:val="0"/>
        <w:adjustRightInd w:val="0"/>
      </w:pPr>
      <w:r>
        <w:t>The distance to the upgradient divide is established as the distance to the upgradient regional groundwater divide.</w:t>
      </w:r>
    </w:p>
    <w:sectPr w:rsidR="003F79CA" w:rsidSect="00D026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60D"/>
    <w:rsid w:val="00110EC7"/>
    <w:rsid w:val="00281F74"/>
    <w:rsid w:val="003F79CA"/>
    <w:rsid w:val="005C3366"/>
    <w:rsid w:val="00BC4F5A"/>
    <w:rsid w:val="00BE7384"/>
    <w:rsid w:val="00CB077B"/>
    <w:rsid w:val="00D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