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DE" w:rsidRDefault="00D32DDE" w:rsidP="00D32D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2DDE" w:rsidRDefault="00D32DDE" w:rsidP="00D32DDE">
      <w:pPr>
        <w:widowControl w:val="0"/>
        <w:autoSpaceDE w:val="0"/>
        <w:autoSpaceDN w:val="0"/>
        <w:adjustRightInd w:val="0"/>
      </w:pPr>
      <w:r>
        <w:t xml:space="preserve">AUTHORITY:  Implementing and authorized by the Public Water Supply Operations Act [415 </w:t>
      </w:r>
      <w:proofErr w:type="spellStart"/>
      <w:r>
        <w:t>ILCS</w:t>
      </w:r>
      <w:proofErr w:type="spellEnd"/>
      <w:r>
        <w:t xml:space="preserve"> 45]. </w:t>
      </w:r>
    </w:p>
    <w:sectPr w:rsidR="00D32DDE" w:rsidSect="00D32D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DDE"/>
    <w:rsid w:val="001918BF"/>
    <w:rsid w:val="005C3366"/>
    <w:rsid w:val="00722539"/>
    <w:rsid w:val="00A92297"/>
    <w:rsid w:val="00D3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Public Water Supply Operations Act [415 ILCS 45]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Public Water Supply Operations Act [415 ILCS 45]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