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29B" w:rsidRDefault="00B1129B" w:rsidP="00B112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129B" w:rsidRDefault="00B1129B" w:rsidP="00B112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703.248  Information Repository</w:t>
      </w:r>
      <w:r>
        <w:t xml:space="preserve"> </w:t>
      </w:r>
    </w:p>
    <w:p w:rsidR="00B1129B" w:rsidRDefault="00B1129B" w:rsidP="00B1129B">
      <w:pPr>
        <w:widowControl w:val="0"/>
        <w:autoSpaceDE w:val="0"/>
        <w:autoSpaceDN w:val="0"/>
        <w:adjustRightInd w:val="0"/>
      </w:pPr>
    </w:p>
    <w:p w:rsidR="00B1129B" w:rsidRDefault="00B1129B" w:rsidP="00B1129B">
      <w:pPr>
        <w:widowControl w:val="0"/>
        <w:autoSpaceDE w:val="0"/>
        <w:autoSpaceDN w:val="0"/>
        <w:adjustRightInd w:val="0"/>
      </w:pPr>
      <w:r>
        <w:t xml:space="preserve">The Agency may require the </w:t>
      </w:r>
      <w:proofErr w:type="spellStart"/>
      <w:r>
        <w:t>permittee</w:t>
      </w:r>
      <w:proofErr w:type="spellEnd"/>
      <w:r>
        <w:t xml:space="preserve"> to establish and maintain an information repository at any time, based on the factors set forth in Section 703.193(b). The information repository </w:t>
      </w:r>
      <w:r w:rsidR="009658AD">
        <w:t>must</w:t>
      </w:r>
      <w:r>
        <w:t xml:space="preserve"> be governed by the provisions in Section 703.193(c) through (f). </w:t>
      </w:r>
    </w:p>
    <w:p w:rsidR="005B482B" w:rsidRDefault="005B482B" w:rsidP="00B1129B">
      <w:pPr>
        <w:widowControl w:val="0"/>
        <w:autoSpaceDE w:val="0"/>
        <w:autoSpaceDN w:val="0"/>
        <w:adjustRightInd w:val="0"/>
      </w:pPr>
    </w:p>
    <w:p w:rsidR="00B1129B" w:rsidRDefault="00B1129B" w:rsidP="00B1129B">
      <w:pPr>
        <w:widowControl w:val="0"/>
        <w:autoSpaceDE w:val="0"/>
        <w:autoSpaceDN w:val="0"/>
        <w:adjustRightInd w:val="0"/>
      </w:pPr>
      <w:r>
        <w:t xml:space="preserve">BOARD NOTE:  Derived from 40 CFR 270.30(m) </w:t>
      </w:r>
      <w:r w:rsidR="009658AD">
        <w:t>(200</w:t>
      </w:r>
      <w:r w:rsidR="00423BB4">
        <w:t>2</w:t>
      </w:r>
      <w:r w:rsidR="009658AD">
        <w:t>)</w:t>
      </w:r>
      <w:r>
        <w:t xml:space="preserve">. </w:t>
      </w:r>
    </w:p>
    <w:p w:rsidR="009658AD" w:rsidRDefault="009658AD">
      <w:pPr>
        <w:pStyle w:val="JCARSourceNote"/>
        <w:ind w:firstLine="720"/>
      </w:pPr>
    </w:p>
    <w:p w:rsidR="009658AD" w:rsidRPr="00D55B37" w:rsidRDefault="009658AD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4B2F7E">
        <w:t>7</w:t>
      </w:r>
      <w:r w:rsidRPr="00D55B37">
        <w:t xml:space="preserve"> Ill. Reg. </w:t>
      </w:r>
      <w:r w:rsidR="00E95EC2">
        <w:t>3496</w:t>
      </w:r>
      <w:r w:rsidRPr="00D55B37">
        <w:t xml:space="preserve">, effective </w:t>
      </w:r>
      <w:r w:rsidR="00E95EC2">
        <w:t>February 14, 2003</w:t>
      </w:r>
      <w:r w:rsidRPr="00D55B37">
        <w:t>)</w:t>
      </w:r>
    </w:p>
    <w:sectPr w:rsidR="009658AD" w:rsidRPr="00D55B37" w:rsidSect="00B1129B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129B"/>
    <w:rsid w:val="00423BB4"/>
    <w:rsid w:val="004B2F7E"/>
    <w:rsid w:val="005B482B"/>
    <w:rsid w:val="00664A69"/>
    <w:rsid w:val="009658AD"/>
    <w:rsid w:val="009A6CE6"/>
    <w:rsid w:val="00AE6D4A"/>
    <w:rsid w:val="00B1129B"/>
    <w:rsid w:val="00E25C23"/>
    <w:rsid w:val="00E95EC2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65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65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703</vt:lpstr>
    </vt:vector>
  </TitlesOfParts>
  <Company>state of illinois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703</dc:title>
  <dc:subject/>
  <dc:creator>MessingerRR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