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7D" w:rsidRDefault="0068547D" w:rsidP="006854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547D" w:rsidRDefault="0068547D" w:rsidP="006854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704.230  Incapacity</w:t>
      </w:r>
      <w:r>
        <w:t xml:space="preserve"> </w:t>
      </w:r>
    </w:p>
    <w:p w:rsidR="0068547D" w:rsidRDefault="0068547D" w:rsidP="0068547D">
      <w:pPr>
        <w:widowControl w:val="0"/>
        <w:autoSpaceDE w:val="0"/>
        <w:autoSpaceDN w:val="0"/>
        <w:adjustRightInd w:val="0"/>
      </w:pPr>
    </w:p>
    <w:p w:rsidR="0068547D" w:rsidRDefault="0068547D" w:rsidP="006854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owner or operator </w:t>
      </w:r>
      <w:r w:rsidR="00CC231B">
        <w:t>must</w:t>
      </w:r>
      <w:r>
        <w:t xml:space="preserve"> notify the Agency by certified mail of the commencement of a voluntary or involuntary proceeding under 11 </w:t>
      </w:r>
      <w:r w:rsidR="00CC231B">
        <w:t>USC</w:t>
      </w:r>
      <w:r>
        <w:t xml:space="preserve"> (Bankruptcy), naming the owner or operator as debtor, within 10 business days after the commencement of the proceeding.  A guarantor of a corporate guarantee as specified in Section 704.219 must make such a notification if the guarantor is named as debtor, as required under the terms of guarantee in Section 704.240. </w:t>
      </w:r>
    </w:p>
    <w:p w:rsidR="00994588" w:rsidRDefault="00994588" w:rsidP="0068547D">
      <w:pPr>
        <w:widowControl w:val="0"/>
        <w:autoSpaceDE w:val="0"/>
        <w:autoSpaceDN w:val="0"/>
        <w:adjustRightInd w:val="0"/>
        <w:ind w:left="1440" w:hanging="720"/>
      </w:pPr>
    </w:p>
    <w:p w:rsidR="0068547D" w:rsidRDefault="0068547D" w:rsidP="006854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 owner or operator who fulfills Section 704.213 by obtaining a letter of credit, surety bond</w:t>
      </w:r>
      <w:r w:rsidR="00CC231B">
        <w:t>,</w:t>
      </w:r>
      <w:r>
        <w:t xml:space="preserve"> or insurance policy will be deemed to be without the required financial assurance in the event of bankruptcy, insolvency or a suspension or revocation of the license or charter of the issuing institution.  The owner or operator must establish other financial assurance within 60 days after such an event. </w:t>
      </w:r>
    </w:p>
    <w:p w:rsidR="00994588" w:rsidRDefault="00994588" w:rsidP="0068547D">
      <w:pPr>
        <w:widowControl w:val="0"/>
        <w:autoSpaceDE w:val="0"/>
        <w:autoSpaceDN w:val="0"/>
        <w:adjustRightInd w:val="0"/>
        <w:ind w:left="1440" w:hanging="720"/>
      </w:pPr>
    </w:p>
    <w:p w:rsidR="0068547D" w:rsidRDefault="00CC231B" w:rsidP="0068547D">
      <w:pPr>
        <w:widowControl w:val="0"/>
        <w:autoSpaceDE w:val="0"/>
        <w:autoSpaceDN w:val="0"/>
        <w:adjustRightInd w:val="0"/>
        <w:ind w:left="1440" w:hanging="720"/>
      </w:pPr>
      <w:r>
        <w:t>BOARD NOTE:  Derived from</w:t>
      </w:r>
      <w:r w:rsidR="0068547D">
        <w:t xml:space="preserve"> 40 CFR 144.64</w:t>
      </w:r>
      <w:r>
        <w:t xml:space="preserve"> (2005)</w:t>
      </w:r>
      <w:r w:rsidR="0068547D">
        <w:t xml:space="preserve">. </w:t>
      </w:r>
    </w:p>
    <w:p w:rsidR="0068547D" w:rsidRDefault="0068547D" w:rsidP="0068547D">
      <w:pPr>
        <w:widowControl w:val="0"/>
        <w:autoSpaceDE w:val="0"/>
        <w:autoSpaceDN w:val="0"/>
        <w:adjustRightInd w:val="0"/>
        <w:ind w:left="1440" w:hanging="720"/>
      </w:pPr>
    </w:p>
    <w:p w:rsidR="00CC231B" w:rsidRPr="00D55B37" w:rsidRDefault="00CC231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91F47">
        <w:t>1</w:t>
      </w:r>
      <w:r>
        <w:t xml:space="preserve"> I</w:t>
      </w:r>
      <w:r w:rsidRPr="00D55B37">
        <w:t xml:space="preserve">ll. Reg. </w:t>
      </w:r>
      <w:r w:rsidR="00187A3F">
        <w:t>605</w:t>
      </w:r>
      <w:r w:rsidRPr="00D55B37">
        <w:t xml:space="preserve">, effective </w:t>
      </w:r>
      <w:r w:rsidR="0034478E">
        <w:t>December 20, 2006</w:t>
      </w:r>
      <w:r w:rsidRPr="00D55B37">
        <w:t>)</w:t>
      </w:r>
    </w:p>
    <w:sectPr w:rsidR="00CC231B" w:rsidRPr="00D55B37" w:rsidSect="00685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47D"/>
    <w:rsid w:val="00126578"/>
    <w:rsid w:val="00187A3F"/>
    <w:rsid w:val="0034478E"/>
    <w:rsid w:val="005C3366"/>
    <w:rsid w:val="0068547D"/>
    <w:rsid w:val="00991F47"/>
    <w:rsid w:val="00994588"/>
    <w:rsid w:val="00AF5AB7"/>
    <w:rsid w:val="00B036BE"/>
    <w:rsid w:val="00CC231B"/>
    <w:rsid w:val="00CD24CE"/>
    <w:rsid w:val="00D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2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