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65" w:rsidRDefault="00145F65" w:rsidP="00145F65">
      <w:pPr>
        <w:rPr>
          <w:rFonts w:eastAsia="Calibri"/>
        </w:rPr>
      </w:pPr>
    </w:p>
    <w:p w:rsidR="00145F65" w:rsidRPr="00145F65" w:rsidRDefault="00145F65" w:rsidP="00145F65">
      <w:pPr>
        <w:rPr>
          <w:rFonts w:eastAsia="Calibri"/>
          <w:b/>
        </w:rPr>
      </w:pPr>
      <w:r w:rsidRPr="00145F65">
        <w:rPr>
          <w:rFonts w:eastAsia="Calibri"/>
          <w:b/>
        </w:rPr>
        <w:t xml:space="preserve">Section </w:t>
      </w:r>
      <w:bookmarkStart w:id="0" w:name="_Hlk512349964"/>
      <w:r w:rsidRPr="00145F65">
        <w:rPr>
          <w:rFonts w:eastAsia="Calibri"/>
          <w:b/>
        </w:rPr>
        <w:t>722.333</w:t>
      </w:r>
      <w:bookmarkEnd w:id="0"/>
      <w:r w:rsidRPr="00145F65">
        <w:rPr>
          <w:rFonts w:eastAsia="Calibri"/>
          <w:b/>
        </w:rPr>
        <w:t xml:space="preserve">  Request to Manage One Additional Episodic Event Per Calendar Year</w:t>
      </w:r>
    </w:p>
    <w:p w:rsidR="00145F65" w:rsidRDefault="00145F65" w:rsidP="00145F65">
      <w:pPr>
        <w:rPr>
          <w:rFonts w:eastAsia="Calibri"/>
        </w:rPr>
      </w:pPr>
    </w:p>
    <w:p w:rsidR="00145F65" w:rsidRPr="00145F65" w:rsidRDefault="00145F65" w:rsidP="00145F65">
      <w:pPr>
        <w:ind w:left="1440" w:hanging="720"/>
        <w:rPr>
          <w:rFonts w:eastAsia="Calibri"/>
        </w:rPr>
      </w:pPr>
      <w:r w:rsidRPr="00145F65">
        <w:rPr>
          <w:rFonts w:eastAsia="Calibri"/>
        </w:rPr>
        <w:t>a)</w:t>
      </w:r>
      <w:r>
        <w:rPr>
          <w:rFonts w:eastAsia="Calibri"/>
        </w:rPr>
        <w:tab/>
      </w:r>
      <w:r w:rsidR="002E299D">
        <w:rPr>
          <w:rFonts w:eastAsia="Calibri"/>
        </w:rPr>
        <w:t>After obtaining a provisional variance from the Agency, a</w:t>
      </w:r>
      <w:r w:rsidRPr="00145F65">
        <w:rPr>
          <w:rFonts w:eastAsia="Calibri"/>
        </w:rPr>
        <w:t xml:space="preserve"> </w:t>
      </w:r>
      <w:bookmarkStart w:id="1" w:name="_Hlk509237100"/>
      <w:r w:rsidRPr="00145F65">
        <w:rPr>
          <w:rFonts w:eastAsia="Calibri"/>
        </w:rPr>
        <w:t xml:space="preserve">generator may </w:t>
      </w:r>
      <w:bookmarkStart w:id="2" w:name="_Hlk509237163"/>
      <w:r w:rsidR="002E299D">
        <w:rPr>
          <w:rFonts w:eastAsia="Calibri"/>
        </w:rPr>
        <w:t>conduct</w:t>
      </w:r>
      <w:bookmarkEnd w:id="1"/>
      <w:bookmarkEnd w:id="2"/>
      <w:r w:rsidRPr="00145F65">
        <w:rPr>
          <w:rFonts w:eastAsia="Calibri"/>
        </w:rPr>
        <w:t xml:space="preserve"> a second episodic event </w:t>
      </w:r>
      <w:r w:rsidR="002E299D">
        <w:rPr>
          <w:rFonts w:eastAsia="Calibri"/>
        </w:rPr>
        <w:t xml:space="preserve">not to exceed 60 days </w:t>
      </w:r>
      <w:r w:rsidRPr="00145F65">
        <w:rPr>
          <w:rFonts w:eastAsia="Calibri"/>
        </w:rPr>
        <w:t>in a calendar year without impacting its generator category under the following conditions:</w:t>
      </w:r>
    </w:p>
    <w:p w:rsidR="00145F65" w:rsidRDefault="00145F65" w:rsidP="00145F65">
      <w:pPr>
        <w:rPr>
          <w:rFonts w:eastAsia="Calibri"/>
        </w:rPr>
      </w:pPr>
    </w:p>
    <w:p w:rsidR="00145F65" w:rsidRPr="00145F65" w:rsidRDefault="00145F65" w:rsidP="00145F65">
      <w:pPr>
        <w:ind w:left="2160" w:hanging="720"/>
        <w:rPr>
          <w:rFonts w:eastAsia="Calibri"/>
        </w:rPr>
      </w:pPr>
      <w:r w:rsidRPr="00145F65">
        <w:rPr>
          <w:rFonts w:eastAsia="Calibri"/>
        </w:rPr>
        <w:t>1)</w:t>
      </w:r>
      <w:r>
        <w:rPr>
          <w:rFonts w:eastAsia="Calibri"/>
        </w:rPr>
        <w:tab/>
      </w:r>
      <w:r w:rsidRPr="00145F65">
        <w:rPr>
          <w:rFonts w:eastAsia="Calibri"/>
        </w:rPr>
        <w:t xml:space="preserve">If a VSQG or SQG has already held a planned episodic event in a calendar year, the generator may </w:t>
      </w:r>
      <w:r w:rsidR="00A61716">
        <w:rPr>
          <w:rFonts w:eastAsia="Calibri"/>
        </w:rPr>
        <w:t>conduct</w:t>
      </w:r>
      <w:r w:rsidRPr="00145F65">
        <w:rPr>
          <w:rFonts w:eastAsia="Calibri"/>
        </w:rPr>
        <w:t xml:space="preserve"> an additional unplanned episodic event in that calendar year</w:t>
      </w:r>
      <w:r w:rsidR="00A61716">
        <w:rPr>
          <w:rFonts w:eastAsia="Calibri"/>
        </w:rPr>
        <w:t>.  The generator must submit a written request for a provisional variance to the Agency</w:t>
      </w:r>
      <w:r w:rsidRPr="00145F65">
        <w:rPr>
          <w:rFonts w:eastAsia="Calibri"/>
        </w:rPr>
        <w:t xml:space="preserve"> within 72 hours </w:t>
      </w:r>
      <w:r w:rsidR="00A61716">
        <w:rPr>
          <w:rFonts w:eastAsia="Calibri"/>
        </w:rPr>
        <w:t>after</w:t>
      </w:r>
      <w:r w:rsidRPr="00145F65">
        <w:rPr>
          <w:rFonts w:eastAsia="Calibri"/>
        </w:rPr>
        <w:t xml:space="preserve"> the unplanned event.</w:t>
      </w:r>
    </w:p>
    <w:p w:rsidR="00145F65" w:rsidRDefault="00145F65" w:rsidP="00E66C5F">
      <w:pPr>
        <w:rPr>
          <w:rFonts w:eastAsia="Calibri"/>
        </w:rPr>
      </w:pPr>
    </w:p>
    <w:p w:rsidR="00145F65" w:rsidRPr="00145F65" w:rsidRDefault="00145F65" w:rsidP="00145F65">
      <w:pPr>
        <w:ind w:left="2160" w:hanging="720"/>
        <w:rPr>
          <w:rFonts w:eastAsia="Calibri"/>
        </w:rPr>
      </w:pPr>
      <w:r w:rsidRPr="00145F65">
        <w:rPr>
          <w:rFonts w:eastAsia="Calibri"/>
        </w:rPr>
        <w:t>2)</w:t>
      </w:r>
      <w:r>
        <w:rPr>
          <w:rFonts w:eastAsia="Calibri"/>
        </w:rPr>
        <w:tab/>
      </w:r>
      <w:r w:rsidRPr="00145F65">
        <w:rPr>
          <w:rFonts w:eastAsia="Calibri"/>
        </w:rPr>
        <w:t>If a VSQG or SQG has already held an unplanned episodic event in a calendar year</w:t>
      </w:r>
      <w:r w:rsidR="00A61716">
        <w:rPr>
          <w:rFonts w:eastAsia="Calibri"/>
        </w:rPr>
        <w:t>.</w:t>
      </w:r>
      <w:r w:rsidR="00856AA1">
        <w:rPr>
          <w:rFonts w:eastAsia="Calibri"/>
        </w:rPr>
        <w:t xml:space="preserve"> </w:t>
      </w:r>
      <w:r w:rsidRPr="00145F65">
        <w:rPr>
          <w:rFonts w:eastAsia="Calibri"/>
        </w:rPr>
        <w:t xml:space="preserve"> </w:t>
      </w:r>
      <w:r w:rsidR="00856AA1">
        <w:rPr>
          <w:rFonts w:eastAsia="Calibri"/>
        </w:rPr>
        <w:t>T</w:t>
      </w:r>
      <w:r w:rsidRPr="00145F65">
        <w:rPr>
          <w:rFonts w:eastAsia="Calibri"/>
        </w:rPr>
        <w:t>he generator m</w:t>
      </w:r>
      <w:r w:rsidR="00856AA1">
        <w:rPr>
          <w:rFonts w:eastAsia="Calibri"/>
        </w:rPr>
        <w:t xml:space="preserve">ust obtain a provisional variance from the Agency before beginning the additional planned </w:t>
      </w:r>
      <w:r w:rsidR="00B2084E">
        <w:rPr>
          <w:rFonts w:eastAsia="Calibri"/>
        </w:rPr>
        <w:t>episodic</w:t>
      </w:r>
      <w:r w:rsidRPr="00145F65">
        <w:rPr>
          <w:rFonts w:eastAsia="Calibri"/>
        </w:rPr>
        <w:t xml:space="preserve"> event.</w:t>
      </w:r>
    </w:p>
    <w:p w:rsidR="00145F65" w:rsidRDefault="00145F65" w:rsidP="00E66C5F">
      <w:pPr>
        <w:rPr>
          <w:rFonts w:eastAsia="Calibri"/>
        </w:rPr>
      </w:pPr>
    </w:p>
    <w:p w:rsidR="00145F65" w:rsidRPr="00145F65" w:rsidRDefault="00145F65" w:rsidP="00145F65">
      <w:pPr>
        <w:ind w:left="1440" w:hanging="720"/>
        <w:rPr>
          <w:rFonts w:eastAsia="Calibri"/>
        </w:rPr>
      </w:pPr>
      <w:r w:rsidRPr="00145F65">
        <w:rPr>
          <w:rFonts w:eastAsia="Calibri"/>
        </w:rPr>
        <w:t>b)</w:t>
      </w:r>
      <w:r>
        <w:rPr>
          <w:rFonts w:eastAsia="Calibri"/>
        </w:rPr>
        <w:tab/>
      </w:r>
      <w:r w:rsidRPr="00145F65">
        <w:rPr>
          <w:rFonts w:eastAsia="Calibri"/>
        </w:rPr>
        <w:t>The</w:t>
      </w:r>
      <w:r w:rsidR="00856AA1" w:rsidRPr="00856AA1">
        <w:rPr>
          <w:rFonts w:eastAsiaTheme="minorHAnsi"/>
        </w:rPr>
        <w:t xml:space="preserve"> </w:t>
      </w:r>
      <w:r w:rsidR="00856AA1" w:rsidRPr="00834485">
        <w:rPr>
          <w:rFonts w:eastAsiaTheme="minorHAnsi"/>
        </w:rPr>
        <w:t xml:space="preserve">generator must submit the written request using </w:t>
      </w:r>
      <w:r w:rsidR="00B2084E">
        <w:rPr>
          <w:rFonts w:eastAsiaTheme="minorHAnsi"/>
        </w:rPr>
        <w:t>Notification of RCRA Subtitle C Activities (Site Identification Form) (</w:t>
      </w:r>
      <w:r w:rsidR="00856AA1" w:rsidRPr="00834485">
        <w:rPr>
          <w:rFonts w:eastAsiaTheme="minorHAnsi"/>
        </w:rPr>
        <w:t>USEPA Form 8700-12</w:t>
      </w:r>
      <w:r w:rsidR="00B2084E">
        <w:rPr>
          <w:rFonts w:eastAsiaTheme="minorHAnsi"/>
        </w:rPr>
        <w:t>)</w:t>
      </w:r>
      <w:r w:rsidR="00856AA1" w:rsidRPr="00834485">
        <w:rPr>
          <w:rFonts w:eastAsiaTheme="minorHAnsi"/>
        </w:rPr>
        <w:t xml:space="preserve">, identifying it as a request </w:t>
      </w:r>
      <w:bookmarkStart w:id="3" w:name="_Hlk523834938"/>
      <w:r w:rsidR="00856AA1" w:rsidRPr="00834485">
        <w:rPr>
          <w:rFonts w:eastAsiaTheme="minorHAnsi"/>
        </w:rPr>
        <w:t>for an additional episodic request</w:t>
      </w:r>
      <w:bookmarkEnd w:id="3"/>
      <w:r w:rsidR="00856AA1" w:rsidRPr="00834485">
        <w:rPr>
          <w:rFonts w:eastAsiaTheme="minorHAnsi"/>
        </w:rPr>
        <w:t>.  The written request</w:t>
      </w:r>
      <w:r w:rsidRPr="00145F65">
        <w:rPr>
          <w:rFonts w:eastAsia="Calibri"/>
        </w:rPr>
        <w:t xml:space="preserve"> must include the following</w:t>
      </w:r>
      <w:r w:rsidR="00856AA1">
        <w:rPr>
          <w:rFonts w:eastAsia="Calibri"/>
        </w:rPr>
        <w:t xml:space="preserve"> information</w:t>
      </w:r>
      <w:r w:rsidRPr="00145F65">
        <w:rPr>
          <w:rFonts w:eastAsia="Calibri"/>
        </w:rPr>
        <w:t>:</w:t>
      </w:r>
    </w:p>
    <w:p w:rsidR="00145F65" w:rsidRDefault="00145F65" w:rsidP="00145F65">
      <w:pPr>
        <w:rPr>
          <w:rFonts w:eastAsia="Calibri"/>
        </w:rPr>
      </w:pPr>
    </w:p>
    <w:p w:rsidR="00145F65" w:rsidRPr="00145F65" w:rsidRDefault="00145F65" w:rsidP="00145F65">
      <w:pPr>
        <w:ind w:left="2160" w:hanging="720"/>
        <w:rPr>
          <w:rFonts w:eastAsia="Calibri"/>
        </w:rPr>
      </w:pPr>
      <w:r w:rsidRPr="00145F65">
        <w:rPr>
          <w:rFonts w:eastAsia="Calibri"/>
        </w:rPr>
        <w:t>1)</w:t>
      </w:r>
      <w:r>
        <w:rPr>
          <w:rFonts w:eastAsia="Calibri"/>
        </w:rPr>
        <w:tab/>
      </w:r>
      <w:r w:rsidRPr="00145F65">
        <w:rPr>
          <w:rFonts w:eastAsia="Calibri"/>
        </w:rPr>
        <w:t>The reasons why an additional episodic event is needed and the nature of the episodic event;</w:t>
      </w:r>
    </w:p>
    <w:p w:rsidR="00145F65" w:rsidRDefault="00145F65" w:rsidP="00E66C5F">
      <w:pPr>
        <w:rPr>
          <w:rFonts w:eastAsia="Calibri"/>
        </w:rPr>
      </w:pPr>
    </w:p>
    <w:p w:rsidR="00145F65" w:rsidRPr="00145F65" w:rsidRDefault="00145F65" w:rsidP="00145F65">
      <w:pPr>
        <w:ind w:left="2160" w:hanging="720"/>
        <w:rPr>
          <w:rFonts w:eastAsia="Calibri"/>
        </w:rPr>
      </w:pPr>
      <w:r w:rsidRPr="00145F65">
        <w:rPr>
          <w:rFonts w:eastAsia="Calibri"/>
        </w:rPr>
        <w:t>2)</w:t>
      </w:r>
      <w:r>
        <w:rPr>
          <w:rFonts w:eastAsia="Calibri"/>
        </w:rPr>
        <w:tab/>
      </w:r>
      <w:r w:rsidRPr="00145F65">
        <w:rPr>
          <w:rFonts w:eastAsia="Calibri"/>
        </w:rPr>
        <w:t>The estimated amount of hazardous waste to be managed from the event;</w:t>
      </w:r>
    </w:p>
    <w:p w:rsidR="00145F65" w:rsidRDefault="00145F65" w:rsidP="00E66C5F">
      <w:pPr>
        <w:rPr>
          <w:rFonts w:eastAsia="Calibri"/>
        </w:rPr>
      </w:pPr>
    </w:p>
    <w:p w:rsidR="00145F65" w:rsidRPr="00145F65" w:rsidRDefault="00145F65" w:rsidP="00145F65">
      <w:pPr>
        <w:ind w:left="2160" w:hanging="720"/>
        <w:rPr>
          <w:rFonts w:eastAsia="Calibri"/>
        </w:rPr>
      </w:pPr>
      <w:r w:rsidRPr="00145F65">
        <w:rPr>
          <w:rFonts w:eastAsia="Calibri"/>
        </w:rPr>
        <w:t>3)</w:t>
      </w:r>
      <w:bookmarkStart w:id="4" w:name="_Hlk509237751"/>
      <w:r>
        <w:rPr>
          <w:rFonts w:eastAsia="Calibri"/>
        </w:rPr>
        <w:tab/>
      </w:r>
      <w:r w:rsidRPr="00145F65">
        <w:rPr>
          <w:rFonts w:eastAsia="Calibri"/>
        </w:rPr>
        <w:t>How the generator will manage the hazardous waste</w:t>
      </w:r>
      <w:bookmarkEnd w:id="4"/>
      <w:r w:rsidRPr="00145F65">
        <w:rPr>
          <w:rFonts w:eastAsia="Calibri"/>
        </w:rPr>
        <w:t>;</w:t>
      </w:r>
    </w:p>
    <w:p w:rsidR="00145F65" w:rsidRDefault="00145F65" w:rsidP="00E66C5F">
      <w:pPr>
        <w:rPr>
          <w:rFonts w:eastAsia="Calibri"/>
        </w:rPr>
      </w:pPr>
    </w:p>
    <w:p w:rsidR="00145F65" w:rsidRPr="00145F65" w:rsidRDefault="00145F65" w:rsidP="00145F65">
      <w:pPr>
        <w:ind w:left="2160" w:hanging="720"/>
        <w:rPr>
          <w:rFonts w:eastAsia="Calibri"/>
        </w:rPr>
      </w:pPr>
      <w:r w:rsidRPr="00145F65">
        <w:rPr>
          <w:rFonts w:eastAsia="Calibri"/>
        </w:rPr>
        <w:t>4)</w:t>
      </w:r>
      <w:r>
        <w:rPr>
          <w:rFonts w:eastAsia="Calibri"/>
        </w:rPr>
        <w:tab/>
      </w:r>
      <w:r w:rsidRPr="00145F65">
        <w:rPr>
          <w:rFonts w:eastAsia="Calibri"/>
        </w:rPr>
        <w:t>The estimated length of time needed to complete management of the hazardous waste generated from the episodic event</w:t>
      </w:r>
      <w:r w:rsidR="0072311E">
        <w:rPr>
          <w:rFonts w:eastAsia="Calibri"/>
        </w:rPr>
        <w:t xml:space="preserve"> − </w:t>
      </w:r>
      <w:r w:rsidRPr="00145F65">
        <w:rPr>
          <w:rFonts w:eastAsia="Calibri"/>
        </w:rPr>
        <w:t xml:space="preserve">not to exceed </w:t>
      </w:r>
      <w:bookmarkStart w:id="5" w:name="_Hlk509237884"/>
      <w:r w:rsidRPr="00145F65">
        <w:rPr>
          <w:rFonts w:eastAsia="Calibri"/>
        </w:rPr>
        <w:t>60 days</w:t>
      </w:r>
      <w:bookmarkEnd w:id="5"/>
      <w:r w:rsidRPr="00145F65">
        <w:rPr>
          <w:rFonts w:eastAsia="Calibri"/>
        </w:rPr>
        <w:t>; and</w:t>
      </w:r>
    </w:p>
    <w:p w:rsidR="00145F65" w:rsidRDefault="00145F65" w:rsidP="00E66C5F">
      <w:pPr>
        <w:rPr>
          <w:rFonts w:eastAsia="Calibri"/>
        </w:rPr>
      </w:pPr>
    </w:p>
    <w:p w:rsidR="00145F65" w:rsidRPr="00145F65" w:rsidRDefault="00145F65" w:rsidP="00145F65">
      <w:pPr>
        <w:ind w:left="2160" w:hanging="720"/>
        <w:rPr>
          <w:rFonts w:eastAsia="Calibri"/>
        </w:rPr>
      </w:pPr>
      <w:r w:rsidRPr="00145F65">
        <w:rPr>
          <w:rFonts w:eastAsia="Calibri"/>
        </w:rPr>
        <w:t>5)</w:t>
      </w:r>
      <w:r>
        <w:rPr>
          <w:rFonts w:eastAsia="Calibri"/>
        </w:rPr>
        <w:tab/>
      </w:r>
      <w:r w:rsidRPr="00145F65">
        <w:rPr>
          <w:rFonts w:eastAsia="Calibri"/>
        </w:rPr>
        <w:t>Information regarding the previous episodic event managed by the generator, including the nature of the event, whether it was a planned or unplanned event, and how the generator complied with the conditions.</w:t>
      </w:r>
    </w:p>
    <w:p w:rsidR="00145F65" w:rsidRDefault="00145F65" w:rsidP="00E66C5F">
      <w:pPr>
        <w:rPr>
          <w:rFonts w:eastAsia="Calibri"/>
        </w:rPr>
      </w:pPr>
    </w:p>
    <w:p w:rsidR="00856AA1" w:rsidRDefault="00856AA1" w:rsidP="00856AA1">
      <w:pPr>
        <w:ind w:left="1440"/>
        <w:rPr>
          <w:rFonts w:eastAsiaTheme="minorHAnsi"/>
        </w:rPr>
      </w:pPr>
      <w:r w:rsidRPr="00834485">
        <w:rPr>
          <w:rFonts w:eastAsiaTheme="minorHAnsi"/>
        </w:rPr>
        <w:t xml:space="preserve">BOARD NOTE:  USEPA Form 8700-12 is available from the Agency, Bureau of Land (217-782-6762).  It is also available on-line for download in PDF file format:  </w:t>
      </w:r>
      <w:r w:rsidRPr="00856AA1">
        <w:rPr>
          <w:rFonts w:eastAsiaTheme="minorHAnsi"/>
        </w:rPr>
        <w:t>www.epa.gov/hwgenerators/instructions-and-form-hazardous-waste-</w:t>
      </w:r>
    </w:p>
    <w:p w:rsidR="00856AA1" w:rsidRDefault="0072311E" w:rsidP="00856AA1">
      <w:pPr>
        <w:ind w:left="1440"/>
        <w:rPr>
          <w:rFonts w:eastAsiaTheme="minorHAnsi"/>
        </w:rPr>
      </w:pPr>
      <w:r>
        <w:rPr>
          <w:rFonts w:eastAsiaTheme="minorHAnsi"/>
        </w:rPr>
        <w:t>g</w:t>
      </w:r>
      <w:r w:rsidR="00856AA1">
        <w:rPr>
          <w:rFonts w:eastAsiaTheme="minorHAnsi"/>
        </w:rPr>
        <w:t>enerators-transporters-and-treatment-storage-and.</w:t>
      </w:r>
    </w:p>
    <w:p w:rsidR="00856AA1" w:rsidRDefault="00856AA1" w:rsidP="00E66C5F">
      <w:pPr>
        <w:rPr>
          <w:rFonts w:eastAsia="Calibri"/>
        </w:rPr>
      </w:pPr>
    </w:p>
    <w:p w:rsidR="00145F65" w:rsidRPr="00145F65" w:rsidRDefault="00145F65" w:rsidP="00145F65">
      <w:pPr>
        <w:ind w:left="1440" w:hanging="720"/>
        <w:rPr>
          <w:rFonts w:eastAsia="Calibri"/>
        </w:rPr>
      </w:pPr>
      <w:r w:rsidRPr="00145F65">
        <w:rPr>
          <w:rFonts w:eastAsia="Calibri"/>
        </w:rPr>
        <w:t>c)</w:t>
      </w:r>
      <w:r>
        <w:rPr>
          <w:rFonts w:eastAsia="Calibri"/>
        </w:rPr>
        <w:tab/>
      </w:r>
      <w:r w:rsidRPr="00145F65">
        <w:rPr>
          <w:rFonts w:eastAsia="Calibri"/>
        </w:rPr>
        <w:t>The generator must submit the writt</w:t>
      </w:r>
      <w:r w:rsidR="00856AA1">
        <w:rPr>
          <w:rFonts w:eastAsia="Calibri"/>
        </w:rPr>
        <w:t>e</w:t>
      </w:r>
      <w:r w:rsidR="00410DBB">
        <w:rPr>
          <w:rFonts w:eastAsia="Calibri"/>
        </w:rPr>
        <w:t>n request to the Agency</w:t>
      </w:r>
      <w:r w:rsidRPr="00145F65">
        <w:rPr>
          <w:rFonts w:eastAsia="Calibri"/>
        </w:rPr>
        <w:t xml:space="preserve"> either on paper or electronically.</w:t>
      </w:r>
    </w:p>
    <w:p w:rsidR="00145F65" w:rsidRDefault="00145F65" w:rsidP="00E66C5F">
      <w:pPr>
        <w:rPr>
          <w:rFonts w:eastAsia="Calibri"/>
        </w:rPr>
      </w:pPr>
    </w:p>
    <w:p w:rsidR="00145F65" w:rsidRDefault="00145F65" w:rsidP="00145F65">
      <w:pPr>
        <w:ind w:left="1440" w:hanging="720"/>
        <w:rPr>
          <w:rFonts w:eastAsia="Calibri"/>
        </w:rPr>
      </w:pPr>
      <w:r w:rsidRPr="00145F65">
        <w:rPr>
          <w:rFonts w:eastAsia="Calibri"/>
        </w:rPr>
        <w:lastRenderedPageBreak/>
        <w:t>d)</w:t>
      </w:r>
      <w:r>
        <w:rPr>
          <w:rFonts w:eastAsia="Calibri"/>
        </w:rPr>
        <w:tab/>
      </w:r>
      <w:r w:rsidRPr="00145F65">
        <w:rPr>
          <w:rFonts w:eastAsia="Calibri"/>
        </w:rPr>
        <w:t xml:space="preserve">The generator must retain written approval in its records for </w:t>
      </w:r>
      <w:bookmarkStart w:id="6" w:name="_Hlk509238321"/>
      <w:r w:rsidRPr="00145F65">
        <w:rPr>
          <w:rFonts w:eastAsia="Calibri"/>
        </w:rPr>
        <w:t>three years</w:t>
      </w:r>
      <w:bookmarkEnd w:id="6"/>
      <w:r w:rsidRPr="00145F65">
        <w:rPr>
          <w:rFonts w:eastAsia="Calibri"/>
        </w:rPr>
        <w:t xml:space="preserve"> from the date the episodic event ended.</w:t>
      </w:r>
    </w:p>
    <w:p w:rsidR="00856AA1" w:rsidRDefault="00856AA1" w:rsidP="00E66C5F">
      <w:pPr>
        <w:rPr>
          <w:rFonts w:eastAsia="Calibri"/>
        </w:rPr>
      </w:pPr>
    </w:p>
    <w:p w:rsidR="00856AA1" w:rsidRDefault="00856AA1" w:rsidP="00145F65">
      <w:pPr>
        <w:ind w:left="1440" w:hanging="720"/>
        <w:rPr>
          <w:rFonts w:eastAsiaTheme="minorHAnsi"/>
        </w:rPr>
      </w:pPr>
      <w:r>
        <w:rPr>
          <w:rFonts w:eastAsia="Calibri"/>
        </w:rPr>
        <w:t>e)</w:t>
      </w:r>
      <w:r>
        <w:rPr>
          <w:rFonts w:eastAsia="Calibri"/>
        </w:rPr>
        <w:tab/>
      </w:r>
      <w:r w:rsidRPr="00834485">
        <w:rPr>
          <w:rFonts w:eastAsiaTheme="minorHAnsi"/>
        </w:rPr>
        <w:t>If the Agency determines the following is true of the additional episodic event, the</w:t>
      </w:r>
      <w:r>
        <w:rPr>
          <w:rFonts w:eastAsiaTheme="minorHAnsi"/>
        </w:rPr>
        <w:t xml:space="preserve"> Agency must approve the request in writing:</w:t>
      </w:r>
    </w:p>
    <w:p w:rsidR="00856AA1" w:rsidRPr="00856AA1" w:rsidRDefault="00856AA1" w:rsidP="00F26DD0">
      <w:pPr>
        <w:rPr>
          <w:rFonts w:eastAsia="Calibri"/>
        </w:rPr>
      </w:pPr>
    </w:p>
    <w:p w:rsidR="00856AA1" w:rsidRPr="00F26DD0" w:rsidRDefault="00F26DD0" w:rsidP="00F26DD0">
      <w:pPr>
        <w:ind w:left="2160" w:hanging="720"/>
        <w:rPr>
          <w:rFonts w:eastAsiaTheme="minorHAnsi"/>
        </w:rPr>
      </w:pPr>
      <w:r>
        <w:rPr>
          <w:rFonts w:eastAsiaTheme="minorHAnsi"/>
        </w:rPr>
        <w:t>1)</w:t>
      </w:r>
      <w:r>
        <w:rPr>
          <w:rFonts w:eastAsiaTheme="minorHAnsi"/>
        </w:rPr>
        <w:tab/>
      </w:r>
      <w:r w:rsidR="00856AA1" w:rsidRPr="00F26DD0">
        <w:rPr>
          <w:rFonts w:eastAsiaTheme="minorHAnsi"/>
        </w:rPr>
        <w:t>The prior episodic event meets the definition of a planned episodic event or unplanned episodic event in Section 722.331;</w:t>
      </w:r>
    </w:p>
    <w:p w:rsidR="00856AA1" w:rsidRPr="00856AA1" w:rsidRDefault="00856AA1" w:rsidP="00F26DD0">
      <w:pPr>
        <w:rPr>
          <w:rFonts w:eastAsiaTheme="minorHAnsi"/>
        </w:rPr>
      </w:pPr>
    </w:p>
    <w:p w:rsidR="00856AA1" w:rsidRPr="00F26DD0" w:rsidRDefault="00F26DD0" w:rsidP="00F26DD0">
      <w:pPr>
        <w:ind w:left="2160" w:hanging="720"/>
        <w:rPr>
          <w:rFonts w:eastAsiaTheme="minorHAnsi"/>
        </w:rPr>
      </w:pPr>
      <w:r>
        <w:rPr>
          <w:rFonts w:eastAsiaTheme="minorHAnsi"/>
        </w:rPr>
        <w:t>2)</w:t>
      </w:r>
      <w:r>
        <w:rPr>
          <w:rFonts w:eastAsiaTheme="minorHAnsi"/>
        </w:rPr>
        <w:tab/>
      </w:r>
      <w:r w:rsidR="00856AA1" w:rsidRPr="00F26DD0">
        <w:rPr>
          <w:rFonts w:eastAsiaTheme="minorHAnsi"/>
        </w:rPr>
        <w:t>The additional episodic event meets the definition of a planned episodic event or unplanned episodic event in Section 722.331;</w:t>
      </w:r>
    </w:p>
    <w:p w:rsidR="00856AA1" w:rsidRPr="00F26DD0" w:rsidRDefault="00856AA1" w:rsidP="00F26DD0">
      <w:pPr>
        <w:rPr>
          <w:rFonts w:eastAsiaTheme="minorHAnsi"/>
        </w:rPr>
      </w:pPr>
    </w:p>
    <w:p w:rsidR="00856AA1" w:rsidRPr="00F26DD0" w:rsidRDefault="00F26DD0" w:rsidP="00F26DD0">
      <w:pPr>
        <w:ind w:left="2160" w:hanging="720"/>
        <w:rPr>
          <w:rFonts w:eastAsiaTheme="minorHAnsi"/>
        </w:rPr>
      </w:pPr>
      <w:r>
        <w:rPr>
          <w:rFonts w:eastAsiaTheme="minorHAnsi"/>
        </w:rPr>
        <w:t>3)</w:t>
      </w:r>
      <w:r>
        <w:rPr>
          <w:rFonts w:eastAsiaTheme="minorHAnsi"/>
        </w:rPr>
        <w:tab/>
      </w:r>
      <w:r w:rsidR="00856AA1" w:rsidRPr="00F26DD0">
        <w:rPr>
          <w:rFonts w:eastAsiaTheme="minorHAnsi"/>
        </w:rPr>
        <w:t>The additional episodic event fulfills the criteria of subsection (a)(1) or subsection (a)(2);</w:t>
      </w:r>
    </w:p>
    <w:p w:rsidR="00856AA1" w:rsidRPr="00F26DD0" w:rsidRDefault="00856AA1" w:rsidP="00F26DD0">
      <w:pPr>
        <w:rPr>
          <w:rFonts w:eastAsiaTheme="minorHAnsi"/>
        </w:rPr>
      </w:pPr>
    </w:p>
    <w:p w:rsidR="00856AA1" w:rsidRPr="00F26DD0" w:rsidRDefault="00F26DD0" w:rsidP="00F26DD0">
      <w:pPr>
        <w:ind w:left="2160" w:hanging="720"/>
        <w:rPr>
          <w:rFonts w:eastAsiaTheme="minorHAnsi"/>
        </w:rPr>
      </w:pPr>
      <w:r>
        <w:rPr>
          <w:rFonts w:eastAsiaTheme="minorHAnsi"/>
        </w:rPr>
        <w:t>4)</w:t>
      </w:r>
      <w:r>
        <w:rPr>
          <w:rFonts w:eastAsiaTheme="minorHAnsi"/>
        </w:rPr>
        <w:tab/>
      </w:r>
      <w:r w:rsidR="00856AA1" w:rsidRPr="00F26DD0">
        <w:rPr>
          <w:rFonts w:eastAsiaTheme="minorHAnsi"/>
        </w:rPr>
        <w:t>The generator is legitimately having episodic events, and the generator is using this Section for true episodic events and not as a way to regularly avoid managing hazardous waste at a higher generator category;</w:t>
      </w:r>
    </w:p>
    <w:p w:rsidR="00856AA1" w:rsidRPr="00F26DD0" w:rsidRDefault="00856AA1" w:rsidP="00F26DD0">
      <w:pPr>
        <w:rPr>
          <w:rFonts w:eastAsiaTheme="minorHAnsi"/>
        </w:rPr>
      </w:pPr>
    </w:p>
    <w:p w:rsidR="00856AA1" w:rsidRPr="00F26DD0" w:rsidRDefault="00F26DD0" w:rsidP="00F26DD0">
      <w:pPr>
        <w:ind w:left="2160" w:hanging="720"/>
        <w:rPr>
          <w:rFonts w:eastAsiaTheme="minorHAnsi"/>
        </w:rPr>
      </w:pPr>
      <w:r>
        <w:rPr>
          <w:rFonts w:eastAsiaTheme="minorHAnsi"/>
        </w:rPr>
        <w:t>5)</w:t>
      </w:r>
      <w:r>
        <w:rPr>
          <w:rFonts w:eastAsiaTheme="minorHAnsi"/>
        </w:rPr>
        <w:tab/>
      </w:r>
      <w:r w:rsidR="00856AA1" w:rsidRPr="00F26DD0">
        <w:rPr>
          <w:rFonts w:eastAsiaTheme="minorHAnsi"/>
        </w:rPr>
        <w:t>The generator will comply with the applicable requirements of Section 722.332(a)(4) through (a)(7) or (b)(4) through (b)(6); and</w:t>
      </w:r>
    </w:p>
    <w:p w:rsidR="00856AA1" w:rsidRPr="00F26DD0" w:rsidRDefault="00856AA1" w:rsidP="00F26DD0">
      <w:pPr>
        <w:rPr>
          <w:rFonts w:eastAsiaTheme="minorHAnsi"/>
        </w:rPr>
      </w:pPr>
    </w:p>
    <w:p w:rsidR="00856AA1" w:rsidRPr="00856AA1" w:rsidRDefault="00856AA1" w:rsidP="00856AA1">
      <w:pPr>
        <w:ind w:left="2160" w:hanging="720"/>
        <w:rPr>
          <w:rFonts w:eastAsia="Calibri"/>
        </w:rPr>
      </w:pPr>
      <w:r w:rsidRPr="00856AA1">
        <w:rPr>
          <w:rFonts w:eastAsiaTheme="minorHAnsi"/>
        </w:rPr>
        <w:t>6)</w:t>
      </w:r>
      <w:r w:rsidR="00F26DD0">
        <w:rPr>
          <w:rFonts w:eastAsiaTheme="minorHAnsi"/>
        </w:rPr>
        <w:tab/>
      </w:r>
      <w:r w:rsidRPr="00856AA1">
        <w:rPr>
          <w:rFonts w:eastAsiaTheme="minorHAnsi"/>
        </w:rPr>
        <w:t xml:space="preserve">The generator will manage the hazardous waste in a way that no violation of the Act or Board </w:t>
      </w:r>
      <w:r w:rsidR="00B2084E">
        <w:rPr>
          <w:rFonts w:eastAsiaTheme="minorHAnsi"/>
        </w:rPr>
        <w:t>regulations</w:t>
      </w:r>
      <w:r w:rsidRPr="00856AA1">
        <w:rPr>
          <w:rFonts w:eastAsiaTheme="minorHAnsi"/>
        </w:rPr>
        <w:t xml:space="preserve"> will occur.</w:t>
      </w:r>
    </w:p>
    <w:p w:rsidR="00145F65" w:rsidRPr="00C47296" w:rsidRDefault="00145F65" w:rsidP="00C47296">
      <w:pPr>
        <w:rPr>
          <w:rFonts w:eastAsia="Calibri"/>
        </w:rPr>
      </w:pPr>
    </w:p>
    <w:p w:rsidR="000174EB" w:rsidRDefault="00484C96" w:rsidP="00C47296">
      <w:pPr>
        <w:ind w:left="720"/>
        <w:rPr>
          <w:rFonts w:eastAsiaTheme="minorHAnsi"/>
        </w:rPr>
      </w:pPr>
      <w:r w:rsidRPr="00C47296">
        <w:rPr>
          <w:rFonts w:eastAsiaTheme="minorHAnsi"/>
        </w:rPr>
        <w:t>BOA</w:t>
      </w:r>
      <w:r w:rsidRPr="00834485">
        <w:rPr>
          <w:rFonts w:eastAsiaTheme="minorHAnsi"/>
        </w:rPr>
        <w:t xml:space="preserve">RD NOTE:  Any Agency determination made under this Section is not a </w:t>
      </w:r>
      <w:r>
        <w:rPr>
          <w:rFonts w:eastAsiaTheme="minorHAnsi"/>
        </w:rPr>
        <w:t>"</w:t>
      </w:r>
      <w:r w:rsidRPr="00834485">
        <w:rPr>
          <w:rFonts w:eastAsiaTheme="minorHAnsi"/>
        </w:rPr>
        <w:t>RCRA permit</w:t>
      </w:r>
      <w:r>
        <w:rPr>
          <w:rFonts w:eastAsiaTheme="minorHAnsi"/>
        </w:rPr>
        <w:t>"</w:t>
      </w:r>
      <w:r w:rsidRPr="00834485">
        <w:rPr>
          <w:rFonts w:eastAsiaTheme="minorHAnsi"/>
        </w:rPr>
        <w:t xml:space="preserve">, as such is defined in 35 Ill. Adm. Code 702.110, and is not subject to the procedures of 35 Ill. Adm. Code 702, 703, or 705.  </w:t>
      </w:r>
      <w:bookmarkStart w:id="7" w:name="_Hlk523413908"/>
      <w:r w:rsidRPr="00834485">
        <w:rPr>
          <w:rFonts w:eastAsiaTheme="minorHAnsi"/>
        </w:rPr>
        <w:t>A failure to obtain Agency approval as provided in this Section subjects the generator to higher generator category standards, and non-compliance may subject the generator to enforcement action.</w:t>
      </w:r>
      <w:bookmarkEnd w:id="7"/>
    </w:p>
    <w:p w:rsidR="00C47296" w:rsidRPr="00484C96" w:rsidRDefault="00C47296" w:rsidP="00E66C5F">
      <w:pPr>
        <w:rPr>
          <w:rFonts w:eastAsiaTheme="minorHAnsi"/>
        </w:rPr>
      </w:pPr>
    </w:p>
    <w:p w:rsidR="00145F65" w:rsidRPr="00145F65" w:rsidRDefault="00B2084E" w:rsidP="00B2084E">
      <w:pPr>
        <w:ind w:left="1440" w:hanging="720"/>
      </w:pPr>
      <w:r>
        <w:t xml:space="preserve">(Source:  Amended at 43 Ill. Reg. </w:t>
      </w:r>
      <w:r w:rsidR="00137C40">
        <w:t>5955</w:t>
      </w:r>
      <w:bookmarkStart w:id="8" w:name="_GoBack"/>
      <w:bookmarkEnd w:id="8"/>
      <w:r>
        <w:t xml:space="preserve">, effective </w:t>
      </w:r>
      <w:r w:rsidR="003664D2">
        <w:t>May 2, 2019</w:t>
      </w:r>
      <w:r>
        <w:t>)</w:t>
      </w:r>
    </w:p>
    <w:sectPr w:rsidR="00145F65" w:rsidRPr="00145F6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26" w:rsidRDefault="00AD7526">
      <w:r>
        <w:separator/>
      </w:r>
    </w:p>
  </w:endnote>
  <w:endnote w:type="continuationSeparator" w:id="0">
    <w:p w:rsidR="00AD7526" w:rsidRDefault="00AD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26" w:rsidRDefault="00AD7526">
      <w:r>
        <w:separator/>
      </w:r>
    </w:p>
  </w:footnote>
  <w:footnote w:type="continuationSeparator" w:id="0">
    <w:p w:rsidR="00AD7526" w:rsidRDefault="00AD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60483"/>
    <w:multiLevelType w:val="hybridMultilevel"/>
    <w:tmpl w:val="B798DAC2"/>
    <w:lvl w:ilvl="0" w:tplc="A85C580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C40"/>
    <w:rsid w:val="0014104E"/>
    <w:rsid w:val="001433F3"/>
    <w:rsid w:val="00145C78"/>
    <w:rsid w:val="00145F65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4758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99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64D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DBB"/>
    <w:rsid w:val="00420E63"/>
    <w:rsid w:val="004218A0"/>
    <w:rsid w:val="00425923"/>
    <w:rsid w:val="00426A13"/>
    <w:rsid w:val="00431CFE"/>
    <w:rsid w:val="004326E0"/>
    <w:rsid w:val="004377BA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C96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311E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AA1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A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716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526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84E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5EF3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296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C5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DD0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41A40-F171-4AF3-8824-602F7C96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856A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2019-05-10T19:51:00Z</dcterms:created>
  <dcterms:modified xsi:type="dcterms:W3CDTF">2019-05-14T15:05:00Z</dcterms:modified>
</cp:coreProperties>
</file>