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0F" w:rsidRDefault="0027060F" w:rsidP="00B30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60F" w:rsidRDefault="0027060F" w:rsidP="00B30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724.194  Concentration Limits</w:t>
      </w:r>
      <w:r>
        <w:t xml:space="preserve"> </w:t>
      </w:r>
    </w:p>
    <w:p w:rsidR="0027060F" w:rsidRDefault="0027060F" w:rsidP="00B309BE">
      <w:pPr>
        <w:widowControl w:val="0"/>
        <w:autoSpaceDE w:val="0"/>
        <w:autoSpaceDN w:val="0"/>
        <w:adjustRightInd w:val="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5E4934">
        <w:t xml:space="preserve">must </w:t>
      </w:r>
      <w:r>
        <w:t xml:space="preserve">specify in the facility permit concentration limits in the groundwater for hazardous constituents established under Section 724.193.  The </w:t>
      </w:r>
      <w:r w:rsidR="005E4934">
        <w:t xml:space="preserve">following must be true of the </w:t>
      </w:r>
      <w:r>
        <w:t xml:space="preserve">concentration of a hazardous constituent: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16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25509">
        <w:t xml:space="preserve">It </w:t>
      </w:r>
      <w:r w:rsidR="0076584F">
        <w:t xml:space="preserve">must </w:t>
      </w:r>
      <w:r>
        <w:t xml:space="preserve">not exceed the background level of that constituent in the groundwater at the time that limit is specified in the permit; or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16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any of the constituents listed in Table 1, </w:t>
      </w:r>
      <w:r w:rsidR="005E4934">
        <w:t xml:space="preserve">it </w:t>
      </w:r>
      <w:r>
        <w:t xml:space="preserve">must not exceed the respective value given in that Table if the background level of the constituent is below the value given in Table 1; or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160" w:hanging="720"/>
      </w:pPr>
    </w:p>
    <w:p w:rsidR="0027060F" w:rsidRDefault="0027060F" w:rsidP="000F40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E4934">
        <w:t xml:space="preserve">It must </w:t>
      </w:r>
      <w:r>
        <w:t xml:space="preserve">not exceed an </w:t>
      </w:r>
      <w:r w:rsidR="005E4934">
        <w:t xml:space="preserve">alternative </w:t>
      </w:r>
      <w:r>
        <w:t xml:space="preserve">limit established by the Agency under </w:t>
      </w:r>
      <w:r w:rsidR="005E4934">
        <w:t xml:space="preserve">subsection </w:t>
      </w:r>
      <w:r>
        <w:t xml:space="preserve">(b). </w:t>
      </w:r>
    </w:p>
    <w:p w:rsidR="005E4934" w:rsidRDefault="005E4934" w:rsidP="000F40EA">
      <w:pPr>
        <w:widowControl w:val="0"/>
        <w:autoSpaceDE w:val="0"/>
        <w:autoSpaceDN w:val="0"/>
        <w:adjustRightInd w:val="0"/>
      </w:pPr>
    </w:p>
    <w:tbl>
      <w:tblPr>
        <w:tblW w:w="7149" w:type="dxa"/>
        <w:tblInd w:w="2274" w:type="dxa"/>
        <w:tblLook w:val="0000" w:firstRow="0" w:lastRow="0" w:firstColumn="0" w:lastColumn="0" w:noHBand="0" w:noVBand="0"/>
      </w:tblPr>
      <w:tblGrid>
        <w:gridCol w:w="4753"/>
        <w:gridCol w:w="2396"/>
      </w:tblGrid>
      <w:tr w:rsidR="009C32DD">
        <w:trPr>
          <w:trHeight w:val="675"/>
        </w:trPr>
        <w:tc>
          <w:tcPr>
            <w:tcW w:w="7149" w:type="dxa"/>
            <w:gridSpan w:val="2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TABLE 1</w:t>
            </w:r>
            <w:r w:rsidR="00BA64F7">
              <w:t xml:space="preserve"> − </w:t>
            </w:r>
            <w:r>
              <w:t xml:space="preserve"> MAXIMUM CONCENTRATION OF CONSTITUENTS FOR GROUNDWATER PROTECTION</w:t>
            </w:r>
          </w:p>
        </w:tc>
      </w:tr>
      <w:tr w:rsidR="009C32DD">
        <w:trPr>
          <w:trHeight w:val="580"/>
        </w:trPr>
        <w:tc>
          <w:tcPr>
            <w:tcW w:w="4753" w:type="dxa"/>
            <w:tcBorders>
              <w:top w:val="single" w:sz="4" w:space="0" w:color="auto"/>
            </w:tcBorders>
            <w:vAlign w:val="bottom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693"/>
            </w:pPr>
            <w:r>
              <w:t>Constituent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bottom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Concentration (</w:t>
            </w:r>
            <w:r w:rsidR="00D22369">
              <w:t>mg/</w:t>
            </w:r>
            <w:r w:rsidR="004C4747">
              <w:t>ℓ</w:t>
            </w:r>
            <w:r>
              <w:t>)</w:t>
            </w:r>
          </w:p>
        </w:tc>
      </w:tr>
      <w:tr w:rsidR="009C32DD">
        <w:tc>
          <w:tcPr>
            <w:tcW w:w="4753" w:type="dxa"/>
            <w:tcBorders>
              <w:top w:val="single" w:sz="4" w:space="0" w:color="auto"/>
            </w:tcBorders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Arsenic</w:t>
            </w:r>
            <w:r w:rsidR="00126655">
              <w:t xml:space="preserve"> (CAS No. 7440-38-2)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0.05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Barium</w:t>
            </w:r>
            <w:r w:rsidR="00126655">
              <w:t xml:space="preserve"> (CAS No. 7440-39-3)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1.0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Cadmium</w:t>
            </w:r>
            <w:r w:rsidR="00126655">
              <w:t xml:space="preserve"> (CAS No. 7440-43-9)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0.01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Chromium</w:t>
            </w:r>
            <w:r w:rsidR="00126655">
              <w:t xml:space="preserve"> (CAS No. 7440-47-3)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0.05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Lead</w:t>
            </w:r>
            <w:r w:rsidR="00126655">
              <w:t xml:space="preserve"> (CAS No. 7439-92-1)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0.05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Mercury</w:t>
            </w:r>
            <w:r w:rsidR="00126655">
              <w:t xml:space="preserve"> (CAS No. 7439-97-6)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0.002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Selenium</w:t>
            </w:r>
            <w:r w:rsidR="00126655">
              <w:t>(CAS No. 7782-49-2)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0.01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Silver</w:t>
            </w:r>
            <w:r w:rsidR="00126655">
              <w:t xml:space="preserve"> (CAS No. 7440-22-4)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0.05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Endrin (1,2,3,4,10,10-hexachloro-6,7-epoxy-1,4,4a,5,6,7,8,8a-octahydro-endo,endo-1,4: 5,8-dimethanonaphthalene)</w:t>
            </w:r>
            <w:r w:rsidR="00126655">
              <w:t xml:space="preserve"> (CAS No. 72-20-8)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0.0002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Lindane (1,2,3,4,5,6-hexachlorocyclohexane, gamma isomer)</w:t>
            </w:r>
            <w:r w:rsidR="00126655">
              <w:t xml:space="preserve"> (CAS No. 58-89-9)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0.004</w:t>
            </w:r>
          </w:p>
        </w:tc>
      </w:tr>
      <w:tr w:rsidR="009C32DD">
        <w:tc>
          <w:tcPr>
            <w:tcW w:w="4753" w:type="dxa"/>
          </w:tcPr>
          <w:p w:rsidR="009C32DD" w:rsidRDefault="009C32DD" w:rsidP="00126655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Methoxychlor </w:t>
            </w:r>
            <w:r w:rsidR="00126655">
              <w:t>(1,1,1-Trichloro-2,2-bis(p-methoxyphenyl)ethane) (CAS No. 72-43-5)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0.1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Toxaphene (</w:t>
            </w:r>
            <w:r w:rsidR="008911BD">
              <w:t>C</w:t>
            </w:r>
            <w:r w:rsidR="008911BD" w:rsidRPr="008911BD">
              <w:rPr>
                <w:vertAlign w:val="subscript"/>
              </w:rPr>
              <w:t>10</w:t>
            </w:r>
            <w:r w:rsidR="008911BD">
              <w:t>H</w:t>
            </w:r>
            <w:r w:rsidR="008911BD" w:rsidRPr="008911BD">
              <w:rPr>
                <w:vertAlign w:val="subscript"/>
              </w:rPr>
              <w:t>10</w:t>
            </w:r>
            <w:r w:rsidR="008911BD">
              <w:t>Cl</w:t>
            </w:r>
            <w:r w:rsidR="008911BD" w:rsidRPr="008911BD">
              <w:rPr>
                <w:vertAlign w:val="subscript"/>
              </w:rPr>
              <w:t>6</w:t>
            </w:r>
            <w:r w:rsidR="008911BD">
              <w:t xml:space="preserve">, </w:t>
            </w:r>
            <w:r>
              <w:t>Technical chlorinated camphene, 67-69 percent chlorine)</w:t>
            </w:r>
            <w:r w:rsidR="008911BD">
              <w:t xml:space="preserve"> (CAS No. 8001-35-2)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0.005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2,4-D (2,4-Dichlorophenoxyacetic acid)</w:t>
            </w:r>
            <w:r w:rsidR="008911BD">
              <w:t xml:space="preserve"> (CAS No. 94-75-7)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t>0.1</w:t>
            </w:r>
          </w:p>
        </w:tc>
      </w:tr>
      <w:tr w:rsidR="009C32DD">
        <w:tc>
          <w:tcPr>
            <w:tcW w:w="4753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2,4,5-TP (Silvex) (2,4,5-Trichlorophenoxy- </w:t>
            </w:r>
            <w:r>
              <w:lastRenderedPageBreak/>
              <w:t>propionic acid)</w:t>
            </w:r>
            <w:r w:rsidR="008911BD">
              <w:t xml:space="preserve"> (CAS No. 93-72-1)</w:t>
            </w:r>
          </w:p>
        </w:tc>
        <w:tc>
          <w:tcPr>
            <w:tcW w:w="2396" w:type="dxa"/>
          </w:tcPr>
          <w:p w:rsidR="009C32DD" w:rsidRDefault="009C32DD" w:rsidP="000F40EA">
            <w:pPr>
              <w:widowControl w:val="0"/>
              <w:autoSpaceDE w:val="0"/>
              <w:autoSpaceDN w:val="0"/>
              <w:adjustRightInd w:val="0"/>
              <w:ind w:left="861"/>
            </w:pPr>
            <w:r>
              <w:lastRenderedPageBreak/>
              <w:t>0.01</w:t>
            </w:r>
          </w:p>
        </w:tc>
      </w:tr>
    </w:tbl>
    <w:p w:rsidR="005E4934" w:rsidRDefault="005E4934" w:rsidP="00B309BE">
      <w:pPr>
        <w:widowControl w:val="0"/>
        <w:autoSpaceDE w:val="0"/>
        <w:autoSpaceDN w:val="0"/>
        <w:adjustRightInd w:val="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5E4934">
        <w:t xml:space="preserve">must </w:t>
      </w:r>
      <w:r>
        <w:t xml:space="preserve">establish an </w:t>
      </w:r>
      <w:r w:rsidR="005E4934">
        <w:t xml:space="preserve">alternative </w:t>
      </w:r>
      <w:r>
        <w:t xml:space="preserve">concentration limit for a hazardous constituent if it finds that the constituent will not pose a substantial present or potential hazard to human health or the environment as long as the </w:t>
      </w:r>
      <w:r w:rsidR="005E4934">
        <w:t xml:space="preserve">alternative </w:t>
      </w:r>
      <w:r>
        <w:t xml:space="preserve">concentration limit is not exceeded.  In establishing alternate concentration limits, the Agency </w:t>
      </w:r>
      <w:r w:rsidR="005E4934">
        <w:t xml:space="preserve">must </w:t>
      </w:r>
      <w:r>
        <w:t xml:space="preserve">consider the following factors: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16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Potential adverse effects on groundwater quality, considering</w:t>
      </w:r>
      <w:r w:rsidR="005E4934">
        <w:t xml:space="preserve"> the following</w:t>
      </w:r>
      <w:r>
        <w:t xml:space="preserve">: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physical and chemical characteristics of the waste in the regulated unit, including its potential for migration;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hydrogeological characteristics of the facility and surrounding land;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quantity of groundwater and the direction of groundwater flow;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proximity and withdrawal rates of groundwater users;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1440" w:firstLine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The current and future uses of groundwater in the area;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existing quality of groundwater, including other sources of contamination and their cumulative impact on the groundwater quality;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The potential for health risks caused by human exposure to waste constituents</w:t>
      </w:r>
      <w:r w:rsidR="00A45E14">
        <w:t>;</w:t>
      </w:r>
      <w:r>
        <w:t xml:space="preserve">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The potential damage to wildlife, crops, vegetation</w:t>
      </w:r>
      <w:r w:rsidR="005E4934">
        <w:t>,</w:t>
      </w:r>
      <w:r>
        <w:t xml:space="preserve"> and physical structures caused by exposure to waste constituents;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The persistence and permanence of the potential adverse effects; and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16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Potential adverse effects on hydraulically-connected surface-water quality, considering</w:t>
      </w:r>
      <w:r w:rsidR="005E4934">
        <w:t xml:space="preserve"> the following</w:t>
      </w:r>
      <w:r>
        <w:t xml:space="preserve">: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volume and physical and chemical characteristics of the waste in the regulated unit;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hydrogeological characteristics of the facility and surrounding land;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C)</w:t>
      </w:r>
      <w:r>
        <w:tab/>
        <w:t xml:space="preserve">The quantity and quality of groundwater and the direction of groundwater flow;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1440" w:firstLine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 xml:space="preserve">The patterns of rainfall in the region;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1440" w:firstLine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The proximity of the regulated unit to surface waters;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current and future uses of surface waters in the area and any water quality standards established for those surface waters;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The existing quality of surface water, including other sources of contamination and the cumulative impact on surface-water quality;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The potential for health risks caused by human exposure to waste constituents;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>The potential damage to wildlife, crops, vegetation</w:t>
      </w:r>
      <w:r w:rsidR="00D25509">
        <w:t>,</w:t>
      </w:r>
      <w:r>
        <w:t xml:space="preserve"> and physical structures caused by exposure to waste constituents; and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288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The persistence and permanence of the potential adverse effects.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144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making any determination under </w:t>
      </w:r>
      <w:r w:rsidR="007840F0">
        <w:t xml:space="preserve">subsection </w:t>
      </w:r>
      <w:r>
        <w:t>(b)</w:t>
      </w:r>
      <w:r w:rsidR="007840F0">
        <w:t xml:space="preserve"> </w:t>
      </w:r>
      <w:r>
        <w:t>about the use of groundwater in the area around the facility</w:t>
      </w:r>
      <w:r w:rsidR="00D25509">
        <w:t>,</w:t>
      </w:r>
      <w:r>
        <w:t xml:space="preserve"> the Agency </w:t>
      </w:r>
      <w:r w:rsidR="007840F0">
        <w:t xml:space="preserve">must </w:t>
      </w:r>
      <w:r>
        <w:t xml:space="preserve">consider any identification of underground sources of drinking water and exempted aquifers made under 35 Ill. Adm. Code 704.123. </w:t>
      </w:r>
    </w:p>
    <w:p w:rsidR="000C7EEE" w:rsidRDefault="000C7EEE" w:rsidP="00B309BE">
      <w:pPr>
        <w:widowControl w:val="0"/>
        <w:autoSpaceDE w:val="0"/>
        <w:autoSpaceDN w:val="0"/>
        <w:adjustRightInd w:val="0"/>
        <w:ind w:left="1440" w:hanging="720"/>
      </w:pPr>
    </w:p>
    <w:p w:rsidR="0027060F" w:rsidRDefault="0027060F" w:rsidP="00B309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</w:t>
      </w:r>
      <w:r w:rsidR="007840F0">
        <w:t xml:space="preserve">must </w:t>
      </w:r>
      <w:r>
        <w:t xml:space="preserve">make specific written findings in setting any alternate concentration limits under </w:t>
      </w:r>
      <w:r w:rsidR="007840F0">
        <w:t xml:space="preserve">subsection </w:t>
      </w:r>
      <w:r>
        <w:t>(b)</w:t>
      </w:r>
      <w:r w:rsidR="007840F0">
        <w:t>.</w:t>
      </w:r>
    </w:p>
    <w:p w:rsidR="007840F0" w:rsidRPr="00EA63E4" w:rsidRDefault="007840F0" w:rsidP="00EA63E4">
      <w:pPr>
        <w:ind w:left="720"/>
      </w:pPr>
    </w:p>
    <w:p w:rsidR="008719BD" w:rsidRPr="00EA63E4" w:rsidRDefault="008911BD" w:rsidP="00EA63E4">
      <w:pPr>
        <w:ind w:left="720"/>
      </w:pPr>
      <w:r>
        <w:t xml:space="preserve">(Source:  Amended at 40 Ill. Reg. </w:t>
      </w:r>
      <w:r w:rsidR="004A7F1B">
        <w:t>11726</w:t>
      </w:r>
      <w:r>
        <w:t xml:space="preserve">, effective </w:t>
      </w:r>
      <w:r w:rsidR="004A7F1B">
        <w:t>August 9, 2016</w:t>
      </w:r>
      <w:r>
        <w:t>)</w:t>
      </w:r>
    </w:p>
    <w:sectPr w:rsidR="008719BD" w:rsidRPr="00EA63E4" w:rsidSect="00B309B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60F"/>
    <w:rsid w:val="000169AA"/>
    <w:rsid w:val="00070DBA"/>
    <w:rsid w:val="000C7EEE"/>
    <w:rsid w:val="000F40EA"/>
    <w:rsid w:val="00126655"/>
    <w:rsid w:val="001971DD"/>
    <w:rsid w:val="001E79CC"/>
    <w:rsid w:val="00215242"/>
    <w:rsid w:val="00246116"/>
    <w:rsid w:val="0027060F"/>
    <w:rsid w:val="00387994"/>
    <w:rsid w:val="004A7F1B"/>
    <w:rsid w:val="004C4747"/>
    <w:rsid w:val="005736D2"/>
    <w:rsid w:val="005B570C"/>
    <w:rsid w:val="005E4934"/>
    <w:rsid w:val="005F5AF6"/>
    <w:rsid w:val="006E5CAF"/>
    <w:rsid w:val="00721090"/>
    <w:rsid w:val="0076584F"/>
    <w:rsid w:val="007840F0"/>
    <w:rsid w:val="008719BD"/>
    <w:rsid w:val="008911BD"/>
    <w:rsid w:val="00913DC5"/>
    <w:rsid w:val="009C32DD"/>
    <w:rsid w:val="00A45E14"/>
    <w:rsid w:val="00A95F24"/>
    <w:rsid w:val="00B309BE"/>
    <w:rsid w:val="00B57B94"/>
    <w:rsid w:val="00BA64F7"/>
    <w:rsid w:val="00BC0D1F"/>
    <w:rsid w:val="00CA4A0A"/>
    <w:rsid w:val="00D22369"/>
    <w:rsid w:val="00D25509"/>
    <w:rsid w:val="00EA63E4"/>
    <w:rsid w:val="00F438C4"/>
    <w:rsid w:val="00FE35AB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DFAE9A-B735-4BF5-BCCC-3D31D0A2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40F0"/>
  </w:style>
  <w:style w:type="paragraph" w:styleId="BalloonText">
    <w:name w:val="Balloon Text"/>
    <w:basedOn w:val="Normal"/>
    <w:semiHidden/>
    <w:rsid w:val="0007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BockewitzCK</cp:lastModifiedBy>
  <cp:revision>2</cp:revision>
  <dcterms:created xsi:type="dcterms:W3CDTF">2016-08-25T18:45:00Z</dcterms:created>
  <dcterms:modified xsi:type="dcterms:W3CDTF">2016-08-25T18:45:00Z</dcterms:modified>
</cp:coreProperties>
</file>