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12" w:rsidRDefault="003F6812" w:rsidP="003F68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6812" w:rsidRDefault="003F6812" w:rsidP="003F68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725.118  Location Standards</w:t>
      </w:r>
      <w:r>
        <w:t xml:space="preserve"> </w:t>
      </w:r>
    </w:p>
    <w:p w:rsidR="003F6812" w:rsidRDefault="003F6812" w:rsidP="003F6812">
      <w:pPr>
        <w:widowControl w:val="0"/>
        <w:autoSpaceDE w:val="0"/>
        <w:autoSpaceDN w:val="0"/>
        <w:adjustRightInd w:val="0"/>
      </w:pPr>
    </w:p>
    <w:p w:rsidR="003F6812" w:rsidRDefault="003F6812" w:rsidP="003F6812">
      <w:pPr>
        <w:widowControl w:val="0"/>
        <w:autoSpaceDE w:val="0"/>
        <w:autoSpaceDN w:val="0"/>
        <w:adjustRightInd w:val="0"/>
      </w:pPr>
      <w:r>
        <w:t>The placement of any hazardous waste in a salt dome, salt bed formation, underground mine</w:t>
      </w:r>
      <w:r w:rsidR="00565C0B">
        <w:t>,</w:t>
      </w:r>
      <w:r>
        <w:t xml:space="preserve"> or cave is prohibited. </w:t>
      </w:r>
    </w:p>
    <w:p w:rsidR="003F6812" w:rsidRDefault="003F6812" w:rsidP="003F6812">
      <w:pPr>
        <w:widowControl w:val="0"/>
        <w:autoSpaceDE w:val="0"/>
        <w:autoSpaceDN w:val="0"/>
        <w:adjustRightInd w:val="0"/>
      </w:pPr>
    </w:p>
    <w:p w:rsidR="00565C0B" w:rsidRPr="00D55B37" w:rsidRDefault="00565C0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171494">
        <w:t>6389</w:t>
      </w:r>
      <w:r w:rsidRPr="00D55B37">
        <w:t xml:space="preserve">, effective </w:t>
      </w:r>
      <w:r w:rsidR="00134913">
        <w:t>April 22, 2005</w:t>
      </w:r>
      <w:r w:rsidRPr="00D55B37">
        <w:t>)</w:t>
      </w:r>
    </w:p>
    <w:sectPr w:rsidR="00565C0B" w:rsidRPr="00D55B37" w:rsidSect="003F68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6812"/>
    <w:rsid w:val="00134913"/>
    <w:rsid w:val="00171494"/>
    <w:rsid w:val="001A5EA1"/>
    <w:rsid w:val="003E4A4B"/>
    <w:rsid w:val="003F6812"/>
    <w:rsid w:val="00565C0B"/>
    <w:rsid w:val="005C3366"/>
    <w:rsid w:val="007B7754"/>
    <w:rsid w:val="00CC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65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6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