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8D4" w:rsidRDefault="003218D4" w:rsidP="003218D4">
      <w:pPr>
        <w:widowControl w:val="0"/>
        <w:autoSpaceDE w:val="0"/>
        <w:autoSpaceDN w:val="0"/>
        <w:adjustRightInd w:val="0"/>
      </w:pPr>
    </w:p>
    <w:p w:rsidR="003218D4" w:rsidRDefault="003218D4" w:rsidP="003218D4">
      <w:pPr>
        <w:widowControl w:val="0"/>
        <w:autoSpaceDE w:val="0"/>
        <w:autoSpaceDN w:val="0"/>
        <w:adjustRightInd w:val="0"/>
      </w:pPr>
      <w:r>
        <w:rPr>
          <w:b/>
          <w:bCs/>
        </w:rPr>
        <w:t>Section 725.401  Design Requirements</w:t>
      </w:r>
      <w:r>
        <w:t xml:space="preserve"> </w:t>
      </w:r>
    </w:p>
    <w:p w:rsidR="003218D4" w:rsidRDefault="003218D4" w:rsidP="003218D4">
      <w:pPr>
        <w:widowControl w:val="0"/>
        <w:autoSpaceDE w:val="0"/>
        <w:autoSpaceDN w:val="0"/>
        <w:adjustRightInd w:val="0"/>
      </w:pPr>
    </w:p>
    <w:p w:rsidR="003218D4" w:rsidRDefault="003218D4" w:rsidP="003218D4">
      <w:pPr>
        <w:widowControl w:val="0"/>
        <w:autoSpaceDE w:val="0"/>
        <w:autoSpaceDN w:val="0"/>
        <w:adjustRightInd w:val="0"/>
        <w:ind w:left="1440" w:hanging="720"/>
      </w:pPr>
      <w:r>
        <w:t>a)</w:t>
      </w:r>
      <w:r>
        <w:tab/>
        <w:t xml:space="preserve">The owner or operator of  each new landfill unit, each lateral expansion of a landfill unit, and each replacement of an existing landfill unit </w:t>
      </w:r>
      <w:r w:rsidR="0046527E">
        <w:t>must</w:t>
      </w:r>
      <w:r>
        <w:t xml:space="preserve"> install two or more liners and a leachate collection and removal system above and between such liners, and operate the leachate collection and removal </w:t>
      </w:r>
      <w:r w:rsidR="00F4053D">
        <w:t>system</w:t>
      </w:r>
      <w:r>
        <w:t xml:space="preserve">, in accordance with 35 Ill. Adm. Code 724.401(c), unless exempted by 35 Ill. Adm. Code 724.401(d), (e) or (f).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1440" w:hanging="720"/>
      </w:pPr>
      <w:r>
        <w:t>b)</w:t>
      </w:r>
      <w:r>
        <w:tab/>
        <w:t xml:space="preserve">The owner or operator of each unit referred to in subsection (a) </w:t>
      </w:r>
      <w:r w:rsidR="00FC5F07">
        <w:t>must</w:t>
      </w:r>
      <w:r>
        <w:t xml:space="preserve"> notify the Agency at least </w:t>
      </w:r>
      <w:r w:rsidR="00FC5F07">
        <w:t>60</w:t>
      </w:r>
      <w:r>
        <w:t xml:space="preserve"> days prior to receiving waste.  The owner or operator of each facility submitting notice </w:t>
      </w:r>
      <w:r w:rsidR="0046527E">
        <w:t>must</w:t>
      </w:r>
      <w:r>
        <w:t xml:space="preserve"> file a Part B application within six months </w:t>
      </w:r>
      <w:r w:rsidR="00347C86">
        <w:t xml:space="preserve">of </w:t>
      </w:r>
      <w:r>
        <w:t xml:space="preserve">the receipt of such notice.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1440" w:hanging="720"/>
      </w:pPr>
      <w:r>
        <w:t>c)</w:t>
      </w:r>
      <w:r>
        <w:tab/>
        <w:t>The owner or operator of any replacement landfill unit is exempt from subsection (a) if</w:t>
      </w:r>
      <w:r w:rsidR="0046527E">
        <w:t xml:space="preserve"> both of the following are true</w:t>
      </w:r>
      <w:r>
        <w:t xml:space="preserve">: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2160" w:hanging="720"/>
      </w:pPr>
      <w:r>
        <w:t>1)</w:t>
      </w:r>
      <w:r>
        <w:tab/>
        <w:t>The existing unit was constructed in compliance with the design standards of 35 Ill. Adm. Code 724.401(c), (d)</w:t>
      </w:r>
      <w:r w:rsidR="00FC5F07">
        <w:t>,</w:t>
      </w:r>
      <w:r>
        <w:t xml:space="preserve"> and (e); and </w:t>
      </w:r>
    </w:p>
    <w:p w:rsidR="009810F4" w:rsidRDefault="009810F4" w:rsidP="00ED24D9">
      <w:pPr>
        <w:widowControl w:val="0"/>
        <w:autoSpaceDE w:val="0"/>
        <w:autoSpaceDN w:val="0"/>
        <w:adjustRightInd w:val="0"/>
      </w:pPr>
    </w:p>
    <w:p w:rsidR="003218D4" w:rsidRDefault="003218D4" w:rsidP="00ED24D9">
      <w:pPr>
        <w:widowControl w:val="0"/>
        <w:autoSpaceDE w:val="0"/>
        <w:autoSpaceDN w:val="0"/>
        <w:adjustRightInd w:val="0"/>
        <w:ind w:left="2160"/>
      </w:pPr>
      <w:r>
        <w:t xml:space="preserve">BOARD NOTE:  The cited subsections implemented the design standards of sections 3004(o)(1)(A)(i) and (o)(5) of </w:t>
      </w:r>
      <w:r w:rsidR="000B652E">
        <w:t>RCRA</w:t>
      </w:r>
      <w:r>
        <w:t xml:space="preserve"> (42 </w:t>
      </w:r>
      <w:r w:rsidR="00FC5F07">
        <w:t>USC</w:t>
      </w:r>
      <w:r>
        <w:t xml:space="preserve"> </w:t>
      </w:r>
      <w:r w:rsidR="0046527E">
        <w:t>6924(o)(1)(A)(i) and (o)(5)</w:t>
      </w:r>
      <w:r>
        <w:t xml:space="preserve">).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2160" w:hanging="720"/>
      </w:pPr>
      <w:r>
        <w:t>2)</w:t>
      </w:r>
      <w:r>
        <w:tab/>
        <w:t xml:space="preserve">There is no reason to believe that the liner is not functioning as designed.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1440" w:hanging="720"/>
      </w:pPr>
      <w:r>
        <w:t>d)</w:t>
      </w:r>
      <w:r>
        <w:tab/>
        <w:t xml:space="preserve">The Agency </w:t>
      </w:r>
      <w:r w:rsidR="0046527E">
        <w:t>must</w:t>
      </w:r>
      <w:r>
        <w:t xml:space="preserve"> not require a double liner as set forth in subsection (a) for any monofill, if</w:t>
      </w:r>
      <w:r w:rsidR="0046527E">
        <w:t xml:space="preserve"> the following conditions are fulfilled</w:t>
      </w:r>
      <w:r>
        <w:t xml:space="preserve">: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2160" w:hanging="720"/>
      </w:pPr>
      <w:r>
        <w:t>1)</w:t>
      </w:r>
      <w:r>
        <w:tab/>
        <w:t xml:space="preserve">The monofill contains only hazardous wastes from foundry furnace emission controls or metal casting molding sand, and such </w:t>
      </w:r>
      <w:r w:rsidR="00F4053D">
        <w:t>wastes do</w:t>
      </w:r>
      <w:r>
        <w:t xml:space="preserve"> not contain constituents </w:t>
      </w:r>
      <w:r w:rsidR="0046527E">
        <w:t>that</w:t>
      </w:r>
      <w:r>
        <w:t xml:space="preserve"> render the wastes hazardous for reasons other the toxicity characteristic in 35 Ill. Adm. Code 721.124, with </w:t>
      </w:r>
      <w:r w:rsidR="000B652E">
        <w:t xml:space="preserve">USEPA </w:t>
      </w:r>
      <w:r>
        <w:t xml:space="preserve">hazardous waste </w:t>
      </w:r>
      <w:r w:rsidR="00F4053D">
        <w:t>numbers</w:t>
      </w:r>
      <w:r>
        <w:t xml:space="preserve"> D004 through D017; and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2160" w:hanging="720"/>
      </w:pPr>
      <w:r>
        <w:t>2)</w:t>
      </w:r>
      <w:r>
        <w:tab/>
        <w:t xml:space="preserve">Alternative </w:t>
      </w:r>
      <w:r w:rsidR="00781CE7">
        <w:t>Demonstration</w:t>
      </w:r>
      <w:r>
        <w:t xml:space="preserve">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2880" w:hanging="720"/>
      </w:pPr>
      <w:r>
        <w:t>A)</w:t>
      </w:r>
      <w:r>
        <w:tab/>
        <w:t xml:space="preserve">Liner and </w:t>
      </w:r>
      <w:r w:rsidR="00781CE7">
        <w:t>Location Requirements</w:t>
      </w:r>
      <w:r>
        <w:t xml:space="preserve">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3600" w:hanging="720"/>
      </w:pPr>
      <w:r>
        <w:t>i)</w:t>
      </w:r>
      <w:r>
        <w:tab/>
        <w:t xml:space="preserve">The monofill has at least one liner for which there is no evidence that such liner is leaking;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3600" w:hanging="720"/>
      </w:pPr>
      <w:r>
        <w:t>ii)</w:t>
      </w:r>
      <w:r>
        <w:tab/>
        <w:t xml:space="preserve">The monofill is located more than one-quarter mile from an underground source of drinking water (as that term is defined in 35 Ill. Adm. Code 702.110); and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3600" w:hanging="720"/>
      </w:pPr>
      <w:r>
        <w:t>iii)</w:t>
      </w:r>
      <w:r>
        <w:tab/>
        <w:t xml:space="preserve">The monofill is in compliance with generally applicable groundwater monitoring requirements for facilities with RCRA permits; or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2880" w:hanging="720"/>
      </w:pPr>
      <w:r>
        <w:t>B)</w:t>
      </w:r>
      <w:r>
        <w:tab/>
        <w:t>The owner or operator demonstrates to the Board that the monofill is located, designed</w:t>
      </w:r>
      <w:r w:rsidR="00FC5F07">
        <w:t>,</w:t>
      </w:r>
      <w:r>
        <w:t xml:space="preserve"> and operated so as to assure that there will be no migration of any hazardous constituent into groundwater or surface water at any future time.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1440" w:hanging="720"/>
      </w:pPr>
      <w:r>
        <w:t>e)</w:t>
      </w:r>
      <w:r>
        <w:tab/>
        <w:t xml:space="preserve">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w:t>
      </w:r>
      <w:r w:rsidR="0046527E">
        <w:t>must</w:t>
      </w:r>
      <w:r>
        <w:t xml:space="preserve"> not require a liner or leachate collection system </w:t>
      </w:r>
      <w:r w:rsidR="0046527E">
        <w:t>that</w:t>
      </w:r>
      <w:r>
        <w:t xml:space="preserve">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1440" w:hanging="720"/>
      </w:pPr>
      <w:r>
        <w:t>f)</w:t>
      </w:r>
      <w:r>
        <w:tab/>
        <w:t xml:space="preserve">The owner or operator </w:t>
      </w:r>
      <w:r w:rsidR="0046527E">
        <w:t>must</w:t>
      </w:r>
      <w:r>
        <w:t xml:space="preserve"> design, construct, operate</w:t>
      </w:r>
      <w:r w:rsidR="00FC5F07">
        <w:t>,</w:t>
      </w:r>
      <w:r>
        <w:t xml:space="preserve"> and maintain a run-on control system capable of preventing flow onto the active portion of the landfill during peak discharge from at least a 25-year storm.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1440" w:hanging="720"/>
      </w:pPr>
      <w:r>
        <w:t>g)</w:t>
      </w:r>
      <w:r>
        <w:tab/>
        <w:t xml:space="preserve">The owner or operator </w:t>
      </w:r>
      <w:r w:rsidR="0046527E">
        <w:t>must</w:t>
      </w:r>
      <w:r>
        <w:t xml:space="preserve"> design, construct, operate</w:t>
      </w:r>
      <w:r w:rsidR="00FC5F07">
        <w:t>,</w:t>
      </w:r>
      <w:r>
        <w:t xml:space="preserve"> and maintain a run-off management system to collect and control at least the water volume resulting from a 24 hour, 25-year storm.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1440" w:hanging="720"/>
      </w:pPr>
      <w:r>
        <w:t>h)</w:t>
      </w:r>
      <w:r>
        <w:tab/>
        <w:t xml:space="preserve">Collection and holding facilities (e.g., tanks or basins) associated with run-on and run-off control systems must be emptied or otherwise managed expeditiously after storms to maintain design capacity of the system. </w:t>
      </w:r>
    </w:p>
    <w:p w:rsidR="009810F4" w:rsidRDefault="009810F4" w:rsidP="00ED24D9">
      <w:pPr>
        <w:widowControl w:val="0"/>
        <w:autoSpaceDE w:val="0"/>
        <w:autoSpaceDN w:val="0"/>
        <w:adjustRightInd w:val="0"/>
      </w:pPr>
    </w:p>
    <w:p w:rsidR="003218D4" w:rsidRDefault="003218D4" w:rsidP="003218D4">
      <w:pPr>
        <w:widowControl w:val="0"/>
        <w:autoSpaceDE w:val="0"/>
        <w:autoSpaceDN w:val="0"/>
        <w:adjustRightInd w:val="0"/>
        <w:ind w:left="1440" w:hanging="720"/>
      </w:pPr>
      <w:r>
        <w:t>i)</w:t>
      </w:r>
      <w:r>
        <w:tab/>
        <w:t xml:space="preserve">The owner or operator of a landfill containing hazardous waste </w:t>
      </w:r>
      <w:r w:rsidR="0046527E">
        <w:t>that</w:t>
      </w:r>
      <w:r>
        <w:t xml:space="preserve"> is subject to dispersal by wind </w:t>
      </w:r>
      <w:r w:rsidR="0046527E">
        <w:t>must</w:t>
      </w:r>
      <w:r>
        <w:t xml:space="preserve"> cover or otherwise manage the landfill so that wind dispersal of the hazardous waste is controlled. </w:t>
      </w:r>
    </w:p>
    <w:p w:rsidR="009810F4" w:rsidRDefault="009810F4" w:rsidP="00ED24D9">
      <w:pPr>
        <w:widowControl w:val="0"/>
        <w:autoSpaceDE w:val="0"/>
        <w:autoSpaceDN w:val="0"/>
        <w:adjustRightInd w:val="0"/>
      </w:pPr>
    </w:p>
    <w:p w:rsidR="003218D4" w:rsidRDefault="003218D4" w:rsidP="00ED24D9">
      <w:pPr>
        <w:widowControl w:val="0"/>
        <w:autoSpaceDE w:val="0"/>
        <w:autoSpaceDN w:val="0"/>
        <w:adjustRightInd w:val="0"/>
        <w:ind w:left="1440"/>
      </w:pPr>
      <w:r>
        <w:t>BOARD NOTE:  As required by Section 725.113, the waste analysis plan must include analyses needed to comply with Sections 725.412, 725.413</w:t>
      </w:r>
      <w:r w:rsidR="00FC5F07">
        <w:t>,</w:t>
      </w:r>
      <w:r>
        <w:t xml:space="preserve"> and 725.414. As required by Section 725.173, the owner or operator </w:t>
      </w:r>
      <w:r w:rsidR="0046527E">
        <w:t>must</w:t>
      </w:r>
      <w:r>
        <w:t xml:space="preserve"> place the results of these analyses in the operating record of the facility. </w:t>
      </w:r>
    </w:p>
    <w:p w:rsidR="009810F4" w:rsidRDefault="009810F4" w:rsidP="00ED24D9">
      <w:pPr>
        <w:widowControl w:val="0"/>
        <w:autoSpaceDE w:val="0"/>
        <w:autoSpaceDN w:val="0"/>
        <w:adjustRightInd w:val="0"/>
      </w:pPr>
    </w:p>
    <w:p w:rsidR="00F4053D" w:rsidRPr="00D55B37" w:rsidRDefault="000B652E">
      <w:pPr>
        <w:pStyle w:val="JCARSourceNote"/>
        <w:ind w:left="720"/>
      </w:pPr>
      <w:r>
        <w:t xml:space="preserve">(Source:  Amended at 42 Ill. Reg. </w:t>
      </w:r>
      <w:r w:rsidR="007623DE">
        <w:t>23725</w:t>
      </w:r>
      <w:r>
        <w:t xml:space="preserve">, effective </w:t>
      </w:r>
      <w:bookmarkStart w:id="0" w:name="_GoBack"/>
      <w:r w:rsidR="007623DE">
        <w:t>November 19, 2018</w:t>
      </w:r>
      <w:bookmarkEnd w:id="0"/>
      <w:r>
        <w:t>)</w:t>
      </w:r>
    </w:p>
    <w:sectPr w:rsidR="00F4053D" w:rsidRPr="00D55B37" w:rsidSect="003218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8D4"/>
    <w:rsid w:val="00071924"/>
    <w:rsid w:val="000B652E"/>
    <w:rsid w:val="001578EA"/>
    <w:rsid w:val="00297472"/>
    <w:rsid w:val="003218D4"/>
    <w:rsid w:val="00347C86"/>
    <w:rsid w:val="003719D6"/>
    <w:rsid w:val="00440402"/>
    <w:rsid w:val="0046527E"/>
    <w:rsid w:val="004E5802"/>
    <w:rsid w:val="005C3366"/>
    <w:rsid w:val="007623DE"/>
    <w:rsid w:val="00781CE7"/>
    <w:rsid w:val="00853A4F"/>
    <w:rsid w:val="0088696C"/>
    <w:rsid w:val="009810F4"/>
    <w:rsid w:val="009B430D"/>
    <w:rsid w:val="00BD6208"/>
    <w:rsid w:val="00D411CE"/>
    <w:rsid w:val="00D8092E"/>
    <w:rsid w:val="00DA3ACC"/>
    <w:rsid w:val="00DE3B60"/>
    <w:rsid w:val="00ED24D9"/>
    <w:rsid w:val="00F4053D"/>
    <w:rsid w:val="00FC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B08690-C17B-4CF9-B1C2-C7C11BB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6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