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7C89" w14:textId="77777777" w:rsidR="004D67F8" w:rsidRDefault="004D67F8" w:rsidP="004D67F8">
      <w:pPr>
        <w:widowControl w:val="0"/>
        <w:autoSpaceDE w:val="0"/>
        <w:autoSpaceDN w:val="0"/>
        <w:adjustRightInd w:val="0"/>
      </w:pPr>
    </w:p>
    <w:p w14:paraId="4A055E06" w14:textId="77777777" w:rsidR="004D67F8" w:rsidRDefault="004D67F8" w:rsidP="004D67F8">
      <w:pPr>
        <w:widowControl w:val="0"/>
        <w:autoSpaceDE w:val="0"/>
        <w:autoSpaceDN w:val="0"/>
        <w:adjustRightInd w:val="0"/>
      </w:pPr>
      <w:r>
        <w:rPr>
          <w:b/>
          <w:bCs/>
        </w:rPr>
        <w:t xml:space="preserve">Section 726.209  Low </w:t>
      </w:r>
      <w:r w:rsidR="004F50DB">
        <w:rPr>
          <w:b/>
          <w:bCs/>
        </w:rPr>
        <w:t xml:space="preserve">Risk Waste </w:t>
      </w:r>
      <w:r>
        <w:rPr>
          <w:b/>
          <w:bCs/>
        </w:rPr>
        <w:t>Exemption</w:t>
      </w:r>
      <w:r>
        <w:t xml:space="preserve"> </w:t>
      </w:r>
    </w:p>
    <w:p w14:paraId="4AF4E63E" w14:textId="77777777" w:rsidR="004D67F8" w:rsidRDefault="004D67F8" w:rsidP="004D67F8">
      <w:pPr>
        <w:widowControl w:val="0"/>
        <w:autoSpaceDE w:val="0"/>
        <w:autoSpaceDN w:val="0"/>
        <w:adjustRightInd w:val="0"/>
      </w:pPr>
    </w:p>
    <w:p w14:paraId="3031BF1A" w14:textId="77777777" w:rsidR="004D67F8" w:rsidRDefault="004D67F8" w:rsidP="004D67F8">
      <w:pPr>
        <w:widowControl w:val="0"/>
        <w:autoSpaceDE w:val="0"/>
        <w:autoSpaceDN w:val="0"/>
        <w:adjustRightInd w:val="0"/>
        <w:ind w:left="1440" w:hanging="720"/>
      </w:pPr>
      <w:r>
        <w:t>a)</w:t>
      </w:r>
      <w:r>
        <w:tab/>
        <w:t xml:space="preserve">Waiver of DRE </w:t>
      </w:r>
      <w:r w:rsidR="00184540">
        <w:t>Standard</w:t>
      </w:r>
      <w:r>
        <w:t xml:space="preserve">.  The DRE standard of Section 726.204(a) does not apply if the BIF is operated in conformance with subsection (a)(1), and the owner or operator demonstrates by procedures prescribed in subsection (a)(2), that the burning will not result in unacceptable adverse health effects. </w:t>
      </w:r>
    </w:p>
    <w:p w14:paraId="7F7D1578" w14:textId="77777777" w:rsidR="0028626B" w:rsidRDefault="0028626B" w:rsidP="00EA3601">
      <w:pPr>
        <w:widowControl w:val="0"/>
        <w:autoSpaceDE w:val="0"/>
        <w:autoSpaceDN w:val="0"/>
        <w:adjustRightInd w:val="0"/>
      </w:pPr>
    </w:p>
    <w:p w14:paraId="7CAD924D" w14:textId="77777777" w:rsidR="004D67F8" w:rsidRDefault="004D67F8" w:rsidP="004D67F8">
      <w:pPr>
        <w:widowControl w:val="0"/>
        <w:autoSpaceDE w:val="0"/>
        <w:autoSpaceDN w:val="0"/>
        <w:adjustRightInd w:val="0"/>
        <w:ind w:left="2160" w:hanging="720"/>
      </w:pPr>
      <w:r>
        <w:t>1)</w:t>
      </w:r>
      <w:r>
        <w:tab/>
        <w:t xml:space="preserve">The device must be operated as follows: </w:t>
      </w:r>
    </w:p>
    <w:p w14:paraId="29D2A1F7" w14:textId="77777777" w:rsidR="0028626B" w:rsidRDefault="0028626B" w:rsidP="00EA3601">
      <w:pPr>
        <w:widowControl w:val="0"/>
        <w:autoSpaceDE w:val="0"/>
        <w:autoSpaceDN w:val="0"/>
        <w:adjustRightInd w:val="0"/>
      </w:pPr>
    </w:p>
    <w:p w14:paraId="109C3C4D" w14:textId="77777777" w:rsidR="004D67F8" w:rsidRDefault="004D67F8" w:rsidP="004D67F8">
      <w:pPr>
        <w:widowControl w:val="0"/>
        <w:autoSpaceDE w:val="0"/>
        <w:autoSpaceDN w:val="0"/>
        <w:adjustRightInd w:val="0"/>
        <w:ind w:left="2880" w:hanging="720"/>
      </w:pPr>
      <w:r>
        <w:t>A)</w:t>
      </w:r>
      <w:r>
        <w:tab/>
        <w:t>A minimum of 50 percent of fuel fired to the device must be fossil fuel, fuels derived from fossil fuel, tall oil</w:t>
      </w:r>
      <w:r w:rsidR="005E689E">
        <w:t>,</w:t>
      </w:r>
      <w:r>
        <w:t xml:space="preserve"> or, if approved by the Agency on a case-by-case basis, other nonhazardous fuel with combustion characteristics comparable to fossil fuel.  Such fuels are termed "primary fuel" for purposes of this Section.  (Tall oil is a fuel derived from vegetable and rosin fatty acids.)  The 50 percent primary fuel firing rate must be determined on a total heat or mass input basis, whichever results in the greater mass feed rate of primary fuel fired; </w:t>
      </w:r>
    </w:p>
    <w:p w14:paraId="54C218F5" w14:textId="77777777" w:rsidR="0028626B" w:rsidRDefault="0028626B" w:rsidP="00EA3601">
      <w:pPr>
        <w:widowControl w:val="0"/>
        <w:autoSpaceDE w:val="0"/>
        <w:autoSpaceDN w:val="0"/>
        <w:adjustRightInd w:val="0"/>
      </w:pPr>
    </w:p>
    <w:p w14:paraId="354457AE" w14:textId="77777777" w:rsidR="004D67F8" w:rsidRDefault="004D67F8" w:rsidP="004D67F8">
      <w:pPr>
        <w:widowControl w:val="0"/>
        <w:autoSpaceDE w:val="0"/>
        <w:autoSpaceDN w:val="0"/>
        <w:adjustRightInd w:val="0"/>
        <w:ind w:left="2880" w:hanging="720"/>
      </w:pPr>
      <w:r>
        <w:t>B)</w:t>
      </w:r>
      <w:r>
        <w:tab/>
        <w:t>Primary fuels and hazardous waste fuels must have a minimum as-fired heating value of 8,000 Btu/</w:t>
      </w:r>
      <w:proofErr w:type="spellStart"/>
      <w:r>
        <w:t>lb</w:t>
      </w:r>
      <w:proofErr w:type="spellEnd"/>
      <w:r>
        <w:t xml:space="preserve">; </w:t>
      </w:r>
    </w:p>
    <w:p w14:paraId="19E47E89" w14:textId="77777777" w:rsidR="0028626B" w:rsidRDefault="0028626B" w:rsidP="00EA3601">
      <w:pPr>
        <w:widowControl w:val="0"/>
        <w:autoSpaceDE w:val="0"/>
        <w:autoSpaceDN w:val="0"/>
        <w:adjustRightInd w:val="0"/>
      </w:pPr>
    </w:p>
    <w:p w14:paraId="6DD71CD1" w14:textId="77777777" w:rsidR="004D67F8" w:rsidRDefault="004D67F8" w:rsidP="004D67F8">
      <w:pPr>
        <w:widowControl w:val="0"/>
        <w:autoSpaceDE w:val="0"/>
        <w:autoSpaceDN w:val="0"/>
        <w:adjustRightInd w:val="0"/>
        <w:ind w:left="2880" w:hanging="720"/>
      </w:pPr>
      <w:r>
        <w:t>C)</w:t>
      </w:r>
      <w:r>
        <w:tab/>
        <w:t xml:space="preserve">The hazardous waste is fired directly into the primary fuel flame zone of the combustion chamber; and </w:t>
      </w:r>
    </w:p>
    <w:p w14:paraId="70796FF7" w14:textId="77777777" w:rsidR="0028626B" w:rsidRDefault="0028626B" w:rsidP="00EA3601">
      <w:pPr>
        <w:widowControl w:val="0"/>
        <w:autoSpaceDE w:val="0"/>
        <w:autoSpaceDN w:val="0"/>
        <w:adjustRightInd w:val="0"/>
      </w:pPr>
    </w:p>
    <w:p w14:paraId="7DC94240" w14:textId="77777777" w:rsidR="004D67F8" w:rsidRDefault="004D67F8" w:rsidP="004D67F8">
      <w:pPr>
        <w:widowControl w:val="0"/>
        <w:autoSpaceDE w:val="0"/>
        <w:autoSpaceDN w:val="0"/>
        <w:adjustRightInd w:val="0"/>
        <w:ind w:left="2880" w:hanging="720"/>
      </w:pPr>
      <w:r>
        <w:t>D)</w:t>
      </w:r>
      <w:r>
        <w:tab/>
        <w:t xml:space="preserve">The device operates in conformance with the CO controls provided by Section 726.204(b)(1).  Devices subject to the exemption provided by this Section are not eligible for the alternative CO controls provided by Section 726.204(c). </w:t>
      </w:r>
    </w:p>
    <w:p w14:paraId="2CFF8444" w14:textId="77777777" w:rsidR="0028626B" w:rsidRDefault="0028626B" w:rsidP="00EA3601">
      <w:pPr>
        <w:widowControl w:val="0"/>
        <w:autoSpaceDE w:val="0"/>
        <w:autoSpaceDN w:val="0"/>
        <w:adjustRightInd w:val="0"/>
      </w:pPr>
    </w:p>
    <w:p w14:paraId="6181F7A6" w14:textId="77777777" w:rsidR="004D67F8" w:rsidRDefault="004D67F8" w:rsidP="004D67F8">
      <w:pPr>
        <w:widowControl w:val="0"/>
        <w:autoSpaceDE w:val="0"/>
        <w:autoSpaceDN w:val="0"/>
        <w:adjustRightInd w:val="0"/>
        <w:ind w:left="2160" w:hanging="720"/>
      </w:pPr>
      <w:r>
        <w:t>2)</w:t>
      </w:r>
      <w:r>
        <w:tab/>
        <w:t xml:space="preserve">Procedures to demonstrate that the hazardous waste burning will not pose unacceptable adverse public health effects are as follows: </w:t>
      </w:r>
    </w:p>
    <w:p w14:paraId="52067811" w14:textId="77777777" w:rsidR="0028626B" w:rsidRDefault="0028626B" w:rsidP="00EA3601">
      <w:pPr>
        <w:widowControl w:val="0"/>
        <w:autoSpaceDE w:val="0"/>
        <w:autoSpaceDN w:val="0"/>
        <w:adjustRightInd w:val="0"/>
      </w:pPr>
    </w:p>
    <w:p w14:paraId="5D38F911" w14:textId="77777777" w:rsidR="004D67F8" w:rsidRDefault="004D67F8" w:rsidP="004D67F8">
      <w:pPr>
        <w:widowControl w:val="0"/>
        <w:autoSpaceDE w:val="0"/>
        <w:autoSpaceDN w:val="0"/>
        <w:adjustRightInd w:val="0"/>
        <w:ind w:left="2880" w:hanging="720"/>
      </w:pPr>
      <w:r>
        <w:t>A)</w:t>
      </w:r>
      <w:r>
        <w:tab/>
        <w:t xml:space="preserve">Identify and quantify those nonmetal compounds listed in </w:t>
      </w:r>
      <w:r w:rsidR="004F50DB">
        <w:t xml:space="preserve">Appendix H </w:t>
      </w:r>
      <w:r w:rsidR="00F74FAF">
        <w:t xml:space="preserve">of </w:t>
      </w:r>
      <w:r>
        <w:t xml:space="preserve">35 Ill. Adm. Code 721, that could reasonably be expected to be present in the hazardous waste.  The constituents excluded from analysis must be identified and the basis for their exclusion explained; </w:t>
      </w:r>
    </w:p>
    <w:p w14:paraId="6DB7F9A8" w14:textId="77777777" w:rsidR="0028626B" w:rsidRDefault="0028626B" w:rsidP="00EA3601">
      <w:pPr>
        <w:widowControl w:val="0"/>
        <w:autoSpaceDE w:val="0"/>
        <w:autoSpaceDN w:val="0"/>
        <w:adjustRightInd w:val="0"/>
      </w:pPr>
    </w:p>
    <w:p w14:paraId="45F1A53B" w14:textId="77777777" w:rsidR="004D67F8" w:rsidRDefault="004D67F8" w:rsidP="004D67F8">
      <w:pPr>
        <w:widowControl w:val="0"/>
        <w:autoSpaceDE w:val="0"/>
        <w:autoSpaceDN w:val="0"/>
        <w:adjustRightInd w:val="0"/>
        <w:ind w:left="2880" w:hanging="720"/>
      </w:pPr>
      <w:r>
        <w:t>B)</w:t>
      </w:r>
      <w:r>
        <w:tab/>
        <w:t xml:space="preserve">Calculate reasonable, worst case emission rates for each constituent identified in subsection (a)(2)(A), by assuming the device achieves 99.9 percent destruction and removal efficiency.  That is, assume that 0.1 percent of the mass weight of each constituent fed to the device is emitted. </w:t>
      </w:r>
    </w:p>
    <w:p w14:paraId="625CA45E" w14:textId="77777777" w:rsidR="0028626B" w:rsidRDefault="0028626B" w:rsidP="00EA3601">
      <w:pPr>
        <w:widowControl w:val="0"/>
        <w:autoSpaceDE w:val="0"/>
        <w:autoSpaceDN w:val="0"/>
        <w:adjustRightInd w:val="0"/>
      </w:pPr>
    </w:p>
    <w:p w14:paraId="171AA57C" w14:textId="77777777" w:rsidR="004D67F8" w:rsidRDefault="004D67F8" w:rsidP="004D67F8">
      <w:pPr>
        <w:widowControl w:val="0"/>
        <w:autoSpaceDE w:val="0"/>
        <w:autoSpaceDN w:val="0"/>
        <w:adjustRightInd w:val="0"/>
        <w:ind w:left="2880" w:hanging="720"/>
      </w:pPr>
      <w:r>
        <w:lastRenderedPageBreak/>
        <w:t>C)</w:t>
      </w:r>
      <w:r>
        <w:tab/>
        <w:t xml:space="preserve">For each constituent identified in subsection (a)(2)(A), use emissions dispersion modeling to predict the maximum annual average ground level concentration of the constituent. </w:t>
      </w:r>
    </w:p>
    <w:p w14:paraId="744B38C5" w14:textId="77777777" w:rsidR="0028626B" w:rsidRDefault="0028626B" w:rsidP="00EA3601">
      <w:pPr>
        <w:widowControl w:val="0"/>
        <w:autoSpaceDE w:val="0"/>
        <w:autoSpaceDN w:val="0"/>
        <w:adjustRightInd w:val="0"/>
      </w:pPr>
    </w:p>
    <w:p w14:paraId="04CDDCA6" w14:textId="77777777" w:rsidR="004D67F8" w:rsidRDefault="004D67F8" w:rsidP="004D67F8">
      <w:pPr>
        <w:widowControl w:val="0"/>
        <w:autoSpaceDE w:val="0"/>
        <w:autoSpaceDN w:val="0"/>
        <w:adjustRightInd w:val="0"/>
        <w:ind w:left="3600" w:hanging="720"/>
      </w:pPr>
      <w:proofErr w:type="spellStart"/>
      <w:r>
        <w:t>i</w:t>
      </w:r>
      <w:proofErr w:type="spellEnd"/>
      <w:r>
        <w:t>)</w:t>
      </w:r>
      <w:r>
        <w:tab/>
        <w:t xml:space="preserve">Dispersion modeling must be conducted using methods specified in Section 726.206(h). </w:t>
      </w:r>
    </w:p>
    <w:p w14:paraId="6896822D" w14:textId="77777777" w:rsidR="0028626B" w:rsidRDefault="0028626B" w:rsidP="00EA3601">
      <w:pPr>
        <w:widowControl w:val="0"/>
        <w:autoSpaceDE w:val="0"/>
        <w:autoSpaceDN w:val="0"/>
        <w:adjustRightInd w:val="0"/>
      </w:pPr>
    </w:p>
    <w:p w14:paraId="710CE930" w14:textId="77777777" w:rsidR="004D67F8" w:rsidRDefault="004D67F8" w:rsidP="004D67F8">
      <w:pPr>
        <w:widowControl w:val="0"/>
        <w:autoSpaceDE w:val="0"/>
        <w:autoSpaceDN w:val="0"/>
        <w:adjustRightInd w:val="0"/>
        <w:ind w:left="3600" w:hanging="720"/>
      </w:pPr>
      <w:r>
        <w:t>ii)</w:t>
      </w:r>
      <w:r>
        <w:tab/>
      </w:r>
      <w:r w:rsidR="004F50DB">
        <w:t xml:space="preserve">An owner or operator </w:t>
      </w:r>
      <w:r>
        <w:t xml:space="preserve">of </w:t>
      </w:r>
      <w:r w:rsidR="004F50DB">
        <w:t xml:space="preserve">a facility </w:t>
      </w:r>
      <w:r>
        <w:t xml:space="preserve">with more than one on-site stack from a BIF that is exempt under this Section </w:t>
      </w:r>
      <w:r w:rsidR="004F50DB">
        <w:t xml:space="preserve">must </w:t>
      </w:r>
      <w:r>
        <w:t>conduct dispersion modeling of emissions from all stacks exempt under this Section to predict ambient levels prescribed by this subsection</w:t>
      </w:r>
      <w:r w:rsidR="004F50DB">
        <w:t xml:space="preserve"> (a)(2)</w:t>
      </w:r>
      <w:r>
        <w:t xml:space="preserve">. </w:t>
      </w:r>
    </w:p>
    <w:p w14:paraId="175AC569" w14:textId="77777777" w:rsidR="0028626B" w:rsidRDefault="0028626B" w:rsidP="00EA3601">
      <w:pPr>
        <w:widowControl w:val="0"/>
        <w:autoSpaceDE w:val="0"/>
        <w:autoSpaceDN w:val="0"/>
        <w:adjustRightInd w:val="0"/>
      </w:pPr>
    </w:p>
    <w:p w14:paraId="10540113" w14:textId="77777777" w:rsidR="004D67F8" w:rsidRDefault="004D67F8" w:rsidP="004D67F8">
      <w:pPr>
        <w:widowControl w:val="0"/>
        <w:autoSpaceDE w:val="0"/>
        <w:autoSpaceDN w:val="0"/>
        <w:adjustRightInd w:val="0"/>
        <w:ind w:left="2880" w:hanging="720"/>
      </w:pPr>
      <w:r>
        <w:t>D)</w:t>
      </w:r>
      <w:r>
        <w:tab/>
        <w:t xml:space="preserve">Ground level concentrations of constituents predicted under subsection (a)(2)(C), must not exceed the following levels: </w:t>
      </w:r>
    </w:p>
    <w:p w14:paraId="01B9E4A9" w14:textId="77777777" w:rsidR="0028626B" w:rsidRDefault="0028626B" w:rsidP="00EA3601">
      <w:pPr>
        <w:widowControl w:val="0"/>
        <w:autoSpaceDE w:val="0"/>
        <w:autoSpaceDN w:val="0"/>
        <w:adjustRightInd w:val="0"/>
      </w:pPr>
    </w:p>
    <w:p w14:paraId="5385E80F" w14:textId="77777777" w:rsidR="004D67F8" w:rsidRDefault="004D67F8" w:rsidP="004D67F8">
      <w:pPr>
        <w:widowControl w:val="0"/>
        <w:autoSpaceDE w:val="0"/>
        <w:autoSpaceDN w:val="0"/>
        <w:adjustRightInd w:val="0"/>
        <w:ind w:left="3600" w:hanging="720"/>
      </w:pPr>
      <w:proofErr w:type="spellStart"/>
      <w:r>
        <w:t>i</w:t>
      </w:r>
      <w:proofErr w:type="spellEnd"/>
      <w:r>
        <w:t>)</w:t>
      </w:r>
      <w:r>
        <w:tab/>
        <w:t>For the noncarcinogenic compounds listed in Appendix D, the levels established in Appendix D</w:t>
      </w:r>
      <w:r w:rsidR="00F74FAF">
        <w:t>.</w:t>
      </w:r>
      <w:r>
        <w:t xml:space="preserve"> </w:t>
      </w:r>
    </w:p>
    <w:p w14:paraId="532457EC" w14:textId="77777777" w:rsidR="0028626B" w:rsidRDefault="0028626B" w:rsidP="00EA3601">
      <w:pPr>
        <w:widowControl w:val="0"/>
        <w:autoSpaceDE w:val="0"/>
        <w:autoSpaceDN w:val="0"/>
        <w:adjustRightInd w:val="0"/>
      </w:pPr>
    </w:p>
    <w:p w14:paraId="344DECB9" w14:textId="77777777" w:rsidR="004D67F8" w:rsidRDefault="004D67F8" w:rsidP="004D67F8">
      <w:pPr>
        <w:widowControl w:val="0"/>
        <w:autoSpaceDE w:val="0"/>
        <w:autoSpaceDN w:val="0"/>
        <w:adjustRightInd w:val="0"/>
        <w:ind w:left="3600" w:hanging="720"/>
      </w:pPr>
      <w:r>
        <w:t>ii)</w:t>
      </w:r>
      <w:r>
        <w:tab/>
        <w:t xml:space="preserve">For the carcinogenic compounds listed in Appendix E: </w:t>
      </w:r>
    </w:p>
    <w:p w14:paraId="2C7F55F1" w14:textId="77777777" w:rsidR="004D67F8" w:rsidRDefault="004D67F8" w:rsidP="00EA3601">
      <w:pPr>
        <w:widowControl w:val="0"/>
        <w:autoSpaceDE w:val="0"/>
        <w:autoSpaceDN w:val="0"/>
        <w:adjustRightInd w:val="0"/>
      </w:pPr>
    </w:p>
    <w:p w14:paraId="2C10C523" w14:textId="4D249E0F" w:rsidR="004D67F8" w:rsidRDefault="00226729" w:rsidP="006E77FB">
      <w:pPr>
        <w:widowControl w:val="0"/>
        <w:autoSpaceDE w:val="0"/>
        <w:autoSpaceDN w:val="0"/>
        <w:adjustRightInd w:val="0"/>
        <w:ind w:left="4320" w:firstLine="720"/>
      </w:pPr>
      <w:r w:rsidRPr="00027810">
        <w:rPr>
          <w:position w:val="-30"/>
        </w:rPr>
        <w:object w:dxaOrig="1160" w:dyaOrig="700" w14:anchorId="235CE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39.4pt" o:ole="">
            <v:imagedata r:id="rId4" o:title=""/>
          </v:shape>
          <o:OLEObject Type="Embed" ProgID="Equation.3" ShapeID="_x0000_i1025" DrawAspect="Content" ObjectID="_1794038130" r:id="rId5"/>
        </w:object>
      </w:r>
    </w:p>
    <w:p w14:paraId="1A67873D" w14:textId="77777777" w:rsidR="004C1B21" w:rsidRDefault="004C1B21" w:rsidP="00EA3601">
      <w:pPr>
        <w:widowControl w:val="0"/>
        <w:autoSpaceDE w:val="0"/>
        <w:autoSpaceDN w:val="0"/>
        <w:adjustRightInd w:val="0"/>
      </w:pPr>
    </w:p>
    <w:p w14:paraId="10BBF97E" w14:textId="77777777" w:rsidR="00FE5D7D" w:rsidRDefault="00FE5D7D" w:rsidP="00FE5D7D">
      <w:pPr>
        <w:widowControl w:val="0"/>
        <w:autoSpaceDE w:val="0"/>
        <w:autoSpaceDN w:val="0"/>
        <w:adjustRightInd w:val="0"/>
        <w:ind w:left="2880"/>
      </w:pPr>
      <w:r>
        <w:t xml:space="preserve">Where: </w:t>
      </w:r>
    </w:p>
    <w:p w14:paraId="165F1172" w14:textId="77777777" w:rsidR="00FE5D7D" w:rsidRDefault="00FE5D7D" w:rsidP="00EA3601">
      <w:pPr>
        <w:widowControl w:val="0"/>
        <w:autoSpaceDE w:val="0"/>
        <w:autoSpaceDN w:val="0"/>
        <w:adjustRightInd w:val="0"/>
      </w:pPr>
    </w:p>
    <w:tbl>
      <w:tblPr>
        <w:tblW w:w="0" w:type="auto"/>
        <w:tblInd w:w="3243" w:type="dxa"/>
        <w:tblLook w:val="0000" w:firstRow="0" w:lastRow="0" w:firstColumn="0" w:lastColumn="0" w:noHBand="0" w:noVBand="0"/>
      </w:tblPr>
      <w:tblGrid>
        <w:gridCol w:w="992"/>
        <w:gridCol w:w="306"/>
        <w:gridCol w:w="4865"/>
      </w:tblGrid>
      <w:tr w:rsidR="00FE5D7D" w14:paraId="055C3060" w14:textId="77777777" w:rsidTr="00027810">
        <w:tc>
          <w:tcPr>
            <w:tcW w:w="969" w:type="dxa"/>
          </w:tcPr>
          <w:p w14:paraId="582CFE81" w14:textId="77777777" w:rsidR="00FE5D7D" w:rsidRPr="006E77FB" w:rsidRDefault="006E77FB" w:rsidP="00FE5D7D">
            <w:pPr>
              <w:widowControl w:val="0"/>
              <w:autoSpaceDE w:val="0"/>
              <w:autoSpaceDN w:val="0"/>
              <w:adjustRightInd w:val="0"/>
            </w:pPr>
            <w:r>
              <w:t>Σ(</w:t>
            </w:r>
            <w:r w:rsidR="00FE5D7D">
              <w:t>A</w:t>
            </w:r>
            <w:r w:rsidR="00FE5D7D">
              <w:rPr>
                <w:vertAlign w:val="subscript"/>
              </w:rPr>
              <w:t>i</w:t>
            </w:r>
            <w:r w:rsidR="00FE5D7D">
              <w:t>/L</w:t>
            </w:r>
            <w:r w:rsidR="00FE5D7D">
              <w:rPr>
                <w:vertAlign w:val="subscript"/>
              </w:rPr>
              <w:t>i</w:t>
            </w:r>
            <w:r>
              <w:t>)</w:t>
            </w:r>
          </w:p>
        </w:tc>
        <w:tc>
          <w:tcPr>
            <w:tcW w:w="306" w:type="dxa"/>
          </w:tcPr>
          <w:p w14:paraId="512C8EA0" w14:textId="77777777" w:rsidR="00FE5D7D" w:rsidRDefault="00184540" w:rsidP="00FE5D7D">
            <w:pPr>
              <w:widowControl w:val="0"/>
              <w:autoSpaceDE w:val="0"/>
              <w:autoSpaceDN w:val="0"/>
              <w:adjustRightInd w:val="0"/>
              <w:ind w:left="-126" w:right="-96"/>
              <w:jc w:val="center"/>
            </w:pPr>
            <w:r>
              <w:t>=</w:t>
            </w:r>
          </w:p>
        </w:tc>
        <w:tc>
          <w:tcPr>
            <w:tcW w:w="4865" w:type="dxa"/>
          </w:tcPr>
          <w:p w14:paraId="35688251" w14:textId="77777777" w:rsidR="00FE5D7D" w:rsidRDefault="00FE5D7D" w:rsidP="00FE5D7D">
            <w:pPr>
              <w:widowControl w:val="0"/>
              <w:autoSpaceDE w:val="0"/>
              <w:autoSpaceDN w:val="0"/>
              <w:adjustRightInd w:val="0"/>
            </w:pPr>
            <w:r>
              <w:t xml:space="preserve">the sum of the values of X for each carcinogen </w:t>
            </w:r>
            <w:proofErr w:type="spellStart"/>
            <w:r>
              <w:t>i</w:t>
            </w:r>
            <w:proofErr w:type="spellEnd"/>
            <w:r>
              <w:t xml:space="preserve">, from </w:t>
            </w:r>
            <w:proofErr w:type="spellStart"/>
            <w:r>
              <w:t>i</w:t>
            </w:r>
            <w:proofErr w:type="spellEnd"/>
            <w:r>
              <w:t xml:space="preserve"> = 1 to n</w:t>
            </w:r>
          </w:p>
        </w:tc>
      </w:tr>
      <w:tr w:rsidR="00FE5D7D" w14:paraId="238C6345" w14:textId="77777777" w:rsidTr="00027810">
        <w:tc>
          <w:tcPr>
            <w:tcW w:w="969" w:type="dxa"/>
          </w:tcPr>
          <w:p w14:paraId="3CB88946" w14:textId="77777777" w:rsidR="00FE5D7D" w:rsidRDefault="00FE5D7D" w:rsidP="00FE5D7D">
            <w:pPr>
              <w:widowControl w:val="0"/>
              <w:autoSpaceDE w:val="0"/>
              <w:autoSpaceDN w:val="0"/>
              <w:adjustRightInd w:val="0"/>
            </w:pPr>
            <w:r>
              <w:t>n</w:t>
            </w:r>
          </w:p>
        </w:tc>
        <w:tc>
          <w:tcPr>
            <w:tcW w:w="306" w:type="dxa"/>
          </w:tcPr>
          <w:p w14:paraId="0E771754" w14:textId="77777777" w:rsidR="00FE5D7D" w:rsidRDefault="00FE5D7D" w:rsidP="00FE5D7D">
            <w:pPr>
              <w:widowControl w:val="0"/>
              <w:autoSpaceDE w:val="0"/>
              <w:autoSpaceDN w:val="0"/>
              <w:adjustRightInd w:val="0"/>
              <w:ind w:left="-126" w:right="-96"/>
              <w:jc w:val="center"/>
            </w:pPr>
          </w:p>
        </w:tc>
        <w:tc>
          <w:tcPr>
            <w:tcW w:w="4865" w:type="dxa"/>
          </w:tcPr>
          <w:p w14:paraId="09C69D47" w14:textId="77777777" w:rsidR="00FE5D7D" w:rsidRDefault="00FE5D7D" w:rsidP="00FE5D7D">
            <w:pPr>
              <w:widowControl w:val="0"/>
              <w:autoSpaceDE w:val="0"/>
              <w:autoSpaceDN w:val="0"/>
              <w:adjustRightInd w:val="0"/>
            </w:pPr>
            <w:r>
              <w:t>means the number of carcinogenic compounds</w:t>
            </w:r>
          </w:p>
        </w:tc>
      </w:tr>
      <w:tr w:rsidR="00FE5D7D" w14:paraId="4CEC50CA" w14:textId="77777777" w:rsidTr="00027810">
        <w:tc>
          <w:tcPr>
            <w:tcW w:w="969" w:type="dxa"/>
          </w:tcPr>
          <w:p w14:paraId="5BC90390" w14:textId="77777777" w:rsidR="00FE5D7D" w:rsidRPr="00FE5D7D" w:rsidRDefault="00FE5D7D" w:rsidP="00FE5D7D">
            <w:pPr>
              <w:widowControl w:val="0"/>
              <w:autoSpaceDE w:val="0"/>
              <w:autoSpaceDN w:val="0"/>
              <w:adjustRightInd w:val="0"/>
            </w:pPr>
            <w:r>
              <w:t>A</w:t>
            </w:r>
            <w:r>
              <w:rPr>
                <w:vertAlign w:val="subscript"/>
              </w:rPr>
              <w:t>i</w:t>
            </w:r>
          </w:p>
        </w:tc>
        <w:tc>
          <w:tcPr>
            <w:tcW w:w="306" w:type="dxa"/>
          </w:tcPr>
          <w:p w14:paraId="499A9FAD" w14:textId="77777777" w:rsidR="00FE5D7D" w:rsidRDefault="00B86451" w:rsidP="00FE5D7D">
            <w:pPr>
              <w:widowControl w:val="0"/>
              <w:autoSpaceDE w:val="0"/>
              <w:autoSpaceDN w:val="0"/>
              <w:adjustRightInd w:val="0"/>
              <w:ind w:left="-126" w:right="-96"/>
              <w:jc w:val="center"/>
            </w:pPr>
            <w:r>
              <w:t>=</w:t>
            </w:r>
          </w:p>
        </w:tc>
        <w:tc>
          <w:tcPr>
            <w:tcW w:w="4865" w:type="dxa"/>
          </w:tcPr>
          <w:p w14:paraId="4BEC8D0F" w14:textId="77777777" w:rsidR="00FE5D7D" w:rsidRDefault="006E77FB" w:rsidP="00FE5D7D">
            <w:pPr>
              <w:widowControl w:val="0"/>
              <w:autoSpaceDE w:val="0"/>
              <w:autoSpaceDN w:val="0"/>
              <w:adjustRightInd w:val="0"/>
            </w:pPr>
            <w:r>
              <w:t>Actual</w:t>
            </w:r>
            <w:r w:rsidR="00FE5D7D">
              <w:t xml:space="preserve"> ground level concentration of carcinogen "</w:t>
            </w:r>
            <w:proofErr w:type="spellStart"/>
            <w:r w:rsidR="00FE5D7D">
              <w:t>i</w:t>
            </w:r>
            <w:proofErr w:type="spellEnd"/>
            <w:r w:rsidR="00FE5D7D">
              <w:t>"</w:t>
            </w:r>
          </w:p>
        </w:tc>
      </w:tr>
      <w:tr w:rsidR="00FE5D7D" w14:paraId="5C0E6FBB" w14:textId="77777777" w:rsidTr="00027810">
        <w:tc>
          <w:tcPr>
            <w:tcW w:w="969" w:type="dxa"/>
          </w:tcPr>
          <w:p w14:paraId="20E43525" w14:textId="77777777" w:rsidR="00FE5D7D" w:rsidRPr="00FE5D7D" w:rsidRDefault="00FE5D7D" w:rsidP="00FE5D7D">
            <w:pPr>
              <w:widowControl w:val="0"/>
              <w:autoSpaceDE w:val="0"/>
              <w:autoSpaceDN w:val="0"/>
              <w:adjustRightInd w:val="0"/>
            </w:pPr>
            <w:r>
              <w:t>L</w:t>
            </w:r>
            <w:r>
              <w:rPr>
                <w:vertAlign w:val="subscript"/>
              </w:rPr>
              <w:t>i</w:t>
            </w:r>
          </w:p>
        </w:tc>
        <w:tc>
          <w:tcPr>
            <w:tcW w:w="306" w:type="dxa"/>
          </w:tcPr>
          <w:p w14:paraId="6DD78529" w14:textId="77777777" w:rsidR="00FE5D7D" w:rsidRDefault="00184540" w:rsidP="00FE5D7D">
            <w:pPr>
              <w:widowControl w:val="0"/>
              <w:autoSpaceDE w:val="0"/>
              <w:autoSpaceDN w:val="0"/>
              <w:adjustRightInd w:val="0"/>
              <w:ind w:left="-126" w:right="-96"/>
              <w:jc w:val="center"/>
            </w:pPr>
            <w:r>
              <w:t>=</w:t>
            </w:r>
          </w:p>
        </w:tc>
        <w:tc>
          <w:tcPr>
            <w:tcW w:w="4865" w:type="dxa"/>
          </w:tcPr>
          <w:p w14:paraId="001C62FF" w14:textId="77777777" w:rsidR="00FE5D7D" w:rsidRDefault="00FE5D7D" w:rsidP="00FE5D7D">
            <w:pPr>
              <w:widowControl w:val="0"/>
              <w:autoSpaceDE w:val="0"/>
              <w:autoSpaceDN w:val="0"/>
              <w:adjustRightInd w:val="0"/>
            </w:pPr>
            <w:r>
              <w:t>Level established in Appendix E for carcinogen "</w:t>
            </w:r>
            <w:proofErr w:type="spellStart"/>
            <w:r>
              <w:t>i</w:t>
            </w:r>
            <w:proofErr w:type="spellEnd"/>
            <w:r>
              <w:t>"</w:t>
            </w:r>
          </w:p>
        </w:tc>
      </w:tr>
    </w:tbl>
    <w:p w14:paraId="30E14163" w14:textId="77777777" w:rsidR="00FE5D7D" w:rsidRDefault="00FE5D7D" w:rsidP="00EA3601">
      <w:pPr>
        <w:widowControl w:val="0"/>
        <w:autoSpaceDE w:val="0"/>
        <w:autoSpaceDN w:val="0"/>
        <w:adjustRightInd w:val="0"/>
      </w:pPr>
    </w:p>
    <w:p w14:paraId="4C963CC5" w14:textId="77777777" w:rsidR="004D67F8" w:rsidRDefault="004D67F8" w:rsidP="00DC619D">
      <w:pPr>
        <w:widowControl w:val="0"/>
        <w:autoSpaceDE w:val="0"/>
        <w:autoSpaceDN w:val="0"/>
        <w:adjustRightInd w:val="0"/>
        <w:ind w:left="2880"/>
      </w:pPr>
      <w:r>
        <w:t>iii)</w:t>
      </w:r>
      <w:r>
        <w:tab/>
        <w:t xml:space="preserve">For constituents not listed in Appendix D or E, 0.1 </w:t>
      </w:r>
      <w:proofErr w:type="spellStart"/>
      <w:r w:rsidR="003502ED">
        <w:t>μg</w:t>
      </w:r>
      <w:proofErr w:type="spellEnd"/>
      <w:r w:rsidR="003502ED">
        <w:t>/</w:t>
      </w:r>
      <w:proofErr w:type="spellStart"/>
      <w:r w:rsidR="003502ED">
        <w:t>m³</w:t>
      </w:r>
      <w:proofErr w:type="spellEnd"/>
      <w:r w:rsidR="00F74FAF">
        <w:t>.</w:t>
      </w:r>
    </w:p>
    <w:p w14:paraId="3AA6282F" w14:textId="77777777" w:rsidR="0028626B" w:rsidRDefault="0028626B" w:rsidP="00EA3601">
      <w:pPr>
        <w:widowControl w:val="0"/>
        <w:autoSpaceDE w:val="0"/>
        <w:autoSpaceDN w:val="0"/>
        <w:adjustRightInd w:val="0"/>
      </w:pPr>
    </w:p>
    <w:p w14:paraId="13606C04" w14:textId="77777777" w:rsidR="004D67F8" w:rsidRDefault="004D67F8" w:rsidP="004D67F8">
      <w:pPr>
        <w:widowControl w:val="0"/>
        <w:autoSpaceDE w:val="0"/>
        <w:autoSpaceDN w:val="0"/>
        <w:adjustRightInd w:val="0"/>
        <w:ind w:left="1440" w:hanging="720"/>
      </w:pPr>
      <w:r>
        <w:t>b)</w:t>
      </w:r>
      <w:r>
        <w:tab/>
        <w:t xml:space="preserve">Waiver of </w:t>
      </w:r>
      <w:r w:rsidR="00A94A5D">
        <w:t>Particulate Matter Standard</w:t>
      </w:r>
      <w:r>
        <w:t>.  The PM standard of Section 726.205 does not apply if</w:t>
      </w:r>
      <w:r w:rsidR="00201300">
        <w:t xml:space="preserve"> the following occur</w:t>
      </w:r>
      <w:r>
        <w:t xml:space="preserve">: </w:t>
      </w:r>
    </w:p>
    <w:p w14:paraId="751CA03B" w14:textId="77777777" w:rsidR="0028626B" w:rsidRDefault="0028626B" w:rsidP="00EA3601">
      <w:pPr>
        <w:widowControl w:val="0"/>
        <w:autoSpaceDE w:val="0"/>
        <w:autoSpaceDN w:val="0"/>
        <w:adjustRightInd w:val="0"/>
      </w:pPr>
    </w:p>
    <w:p w14:paraId="663BDBE9" w14:textId="77777777" w:rsidR="004D67F8" w:rsidRDefault="004D67F8" w:rsidP="004D67F8">
      <w:pPr>
        <w:widowControl w:val="0"/>
        <w:autoSpaceDE w:val="0"/>
        <w:autoSpaceDN w:val="0"/>
        <w:adjustRightInd w:val="0"/>
        <w:ind w:left="2160" w:hanging="720"/>
      </w:pPr>
      <w:r>
        <w:t>1)</w:t>
      </w:r>
      <w:r>
        <w:tab/>
        <w:t xml:space="preserve">The DRE standard is waived under subsection (a); and </w:t>
      </w:r>
    </w:p>
    <w:p w14:paraId="217069D0" w14:textId="77777777" w:rsidR="0028626B" w:rsidRDefault="0028626B" w:rsidP="00EA3601">
      <w:pPr>
        <w:widowControl w:val="0"/>
        <w:autoSpaceDE w:val="0"/>
        <w:autoSpaceDN w:val="0"/>
        <w:adjustRightInd w:val="0"/>
      </w:pPr>
    </w:p>
    <w:p w14:paraId="7098272D" w14:textId="77777777" w:rsidR="004D67F8" w:rsidRDefault="004D67F8" w:rsidP="004D67F8">
      <w:pPr>
        <w:widowControl w:val="0"/>
        <w:autoSpaceDE w:val="0"/>
        <w:autoSpaceDN w:val="0"/>
        <w:adjustRightInd w:val="0"/>
        <w:ind w:left="2160" w:hanging="720"/>
      </w:pPr>
      <w:r>
        <w:t>2)</w:t>
      </w:r>
      <w:r>
        <w:tab/>
        <w:t xml:space="preserve">The owner or operator complies with the Tier I, or adjusted Tier I, metals feed rate screening limits provided by Section 726.206(b) or (e). </w:t>
      </w:r>
    </w:p>
    <w:p w14:paraId="1823E8A7" w14:textId="77777777" w:rsidR="004D67F8" w:rsidRDefault="004D67F8" w:rsidP="00EA3601">
      <w:pPr>
        <w:widowControl w:val="0"/>
        <w:autoSpaceDE w:val="0"/>
        <w:autoSpaceDN w:val="0"/>
        <w:adjustRightInd w:val="0"/>
      </w:pPr>
    </w:p>
    <w:p w14:paraId="34A11986" w14:textId="77777777" w:rsidR="001032E5" w:rsidRPr="00D55B37" w:rsidRDefault="00BF7BD7">
      <w:pPr>
        <w:pStyle w:val="JCARSourceNote"/>
        <w:ind w:left="720"/>
      </w:pPr>
      <w:r>
        <w:t xml:space="preserve">(Source:  Amended at 42 Ill. Reg. </w:t>
      </w:r>
      <w:r w:rsidR="00E566B7">
        <w:t>23023</w:t>
      </w:r>
      <w:r>
        <w:t xml:space="preserve">, effective </w:t>
      </w:r>
      <w:r w:rsidR="00E566B7">
        <w:t>November 19, 2018</w:t>
      </w:r>
      <w:r>
        <w:t>)</w:t>
      </w:r>
    </w:p>
    <w:sectPr w:rsidR="001032E5" w:rsidRPr="00D55B37" w:rsidSect="004D67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D67F8"/>
    <w:rsid w:val="00027810"/>
    <w:rsid w:val="000378E0"/>
    <w:rsid w:val="00086B51"/>
    <w:rsid w:val="000D29E6"/>
    <w:rsid w:val="001032E5"/>
    <w:rsid w:val="00184540"/>
    <w:rsid w:val="001C7A81"/>
    <w:rsid w:val="00201300"/>
    <w:rsid w:val="00226729"/>
    <w:rsid w:val="0028626B"/>
    <w:rsid w:val="00323591"/>
    <w:rsid w:val="003327B6"/>
    <w:rsid w:val="003502ED"/>
    <w:rsid w:val="003864DC"/>
    <w:rsid w:val="003F10FE"/>
    <w:rsid w:val="004C1B21"/>
    <w:rsid w:val="004D56BC"/>
    <w:rsid w:val="004D67F8"/>
    <w:rsid w:val="004F50DB"/>
    <w:rsid w:val="00572D44"/>
    <w:rsid w:val="005C3366"/>
    <w:rsid w:val="005E689E"/>
    <w:rsid w:val="00696348"/>
    <w:rsid w:val="006E77FB"/>
    <w:rsid w:val="007751D6"/>
    <w:rsid w:val="008134E9"/>
    <w:rsid w:val="008C5F31"/>
    <w:rsid w:val="0093091B"/>
    <w:rsid w:val="00A94A5D"/>
    <w:rsid w:val="00B57DF3"/>
    <w:rsid w:val="00B86451"/>
    <w:rsid w:val="00BF7BD7"/>
    <w:rsid w:val="00DB57FC"/>
    <w:rsid w:val="00DC619D"/>
    <w:rsid w:val="00E566B7"/>
    <w:rsid w:val="00EA3601"/>
    <w:rsid w:val="00F74FAF"/>
    <w:rsid w:val="00FE13DD"/>
    <w:rsid w:val="00FE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2C7FED96"/>
  <w15:docId w15:val="{66853E8B-9975-4D25-BB24-090095AE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Shipley, Melissa A.</cp:lastModifiedBy>
  <cp:revision>6</cp:revision>
  <dcterms:created xsi:type="dcterms:W3CDTF">2018-12-06T16:58:00Z</dcterms:created>
  <dcterms:modified xsi:type="dcterms:W3CDTF">2024-11-25T17:09:00Z</dcterms:modified>
</cp:coreProperties>
</file>