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1C" w:rsidRDefault="00DE031C" w:rsidP="00DE03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031C" w:rsidRDefault="00DE031C" w:rsidP="00DE031C">
      <w:pPr>
        <w:widowControl w:val="0"/>
        <w:autoSpaceDE w:val="0"/>
        <w:autoSpaceDN w:val="0"/>
        <w:adjustRightInd w:val="0"/>
        <w:jc w:val="center"/>
      </w:pPr>
      <w:r>
        <w:t>SUBPART N:  CONDITIONAL EXEMPTION FOR LOW-LEVEL MIXED</w:t>
      </w:r>
    </w:p>
    <w:p w:rsidR="00DE031C" w:rsidRDefault="00DE031C" w:rsidP="00DE031C">
      <w:pPr>
        <w:widowControl w:val="0"/>
        <w:autoSpaceDE w:val="0"/>
        <w:autoSpaceDN w:val="0"/>
        <w:adjustRightInd w:val="0"/>
        <w:jc w:val="center"/>
      </w:pPr>
      <w:r>
        <w:t>WASTE STORAGE, TREATMENT, TRANSPORTATION AND DISPOSAL</w:t>
      </w:r>
    </w:p>
    <w:sectPr w:rsidR="00DE031C" w:rsidSect="00DE03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31C"/>
    <w:rsid w:val="00351C45"/>
    <w:rsid w:val="0036647C"/>
    <w:rsid w:val="005C3366"/>
    <w:rsid w:val="006E0052"/>
    <w:rsid w:val="00D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CONDITIONAL EXEMPTION FOR LOW-LEVEL MIXED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CONDITIONAL EXEMPTION FOR LOW-LEVEL MIXED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