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EA" w:rsidRDefault="00CB32EA" w:rsidP="00CB32EA">
      <w:pPr>
        <w:widowControl w:val="0"/>
        <w:autoSpaceDE w:val="0"/>
        <w:autoSpaceDN w:val="0"/>
        <w:adjustRightInd w:val="0"/>
      </w:pPr>
      <w:bookmarkStart w:id="0" w:name="_GoBack"/>
      <w:bookmarkEnd w:id="0"/>
    </w:p>
    <w:p w:rsidR="00CB32EA" w:rsidRDefault="00CB32EA" w:rsidP="00CB32EA">
      <w:pPr>
        <w:widowControl w:val="0"/>
        <w:autoSpaceDE w:val="0"/>
        <w:autoSpaceDN w:val="0"/>
        <w:adjustRightInd w:val="0"/>
      </w:pPr>
      <w:r>
        <w:rPr>
          <w:b/>
          <w:bCs/>
        </w:rPr>
        <w:t xml:space="preserve">Section 728.105  Procedures for </w:t>
      </w:r>
      <w:r w:rsidR="00037222">
        <w:rPr>
          <w:b/>
          <w:bCs/>
        </w:rPr>
        <w:t xml:space="preserve">Case-by-Case </w:t>
      </w:r>
      <w:r>
        <w:rPr>
          <w:b/>
          <w:bCs/>
        </w:rPr>
        <w:t>Extensions to an Effective Date</w:t>
      </w:r>
      <w:r>
        <w:t xml:space="preserve"> </w:t>
      </w:r>
    </w:p>
    <w:p w:rsidR="00CB32EA" w:rsidRDefault="00CB32EA" w:rsidP="00CB32EA">
      <w:pPr>
        <w:widowControl w:val="0"/>
        <w:autoSpaceDE w:val="0"/>
        <w:autoSpaceDN w:val="0"/>
        <w:adjustRightInd w:val="0"/>
      </w:pPr>
    </w:p>
    <w:p w:rsidR="003D41A8" w:rsidRPr="00A25C77" w:rsidRDefault="003D41A8" w:rsidP="003D41A8">
      <w:pPr>
        <w:rPr>
          <w:spacing w:val="-3"/>
        </w:rPr>
      </w:pPr>
      <w:r w:rsidRPr="00A25C77">
        <w:rPr>
          <w:spacing w:val="-3"/>
        </w:rPr>
        <w:t>Any person may apply to USEPA for an extension of an effective date pursuant to 40 CFR 268.5.  Any extension that is granted by USEPA will be deemed an extension of the effective date of the derivative Board rule.</w:t>
      </w:r>
    </w:p>
    <w:p w:rsidR="003D41A8" w:rsidRDefault="003D41A8" w:rsidP="00CB32EA">
      <w:pPr>
        <w:widowControl w:val="0"/>
        <w:autoSpaceDE w:val="0"/>
        <w:autoSpaceDN w:val="0"/>
        <w:adjustRightInd w:val="0"/>
      </w:pPr>
    </w:p>
    <w:p w:rsidR="00CB32EA" w:rsidRDefault="003D41A8" w:rsidP="00CB32EA">
      <w:pPr>
        <w:widowControl w:val="0"/>
        <w:autoSpaceDE w:val="0"/>
        <w:autoSpaceDN w:val="0"/>
        <w:adjustRightInd w:val="0"/>
        <w:ind w:left="1440" w:hanging="720"/>
      </w:pPr>
      <w:r>
        <w:tab/>
      </w:r>
      <w:r>
        <w:tab/>
      </w:r>
    </w:p>
    <w:p w:rsidR="003D41A8" w:rsidRPr="00D55B37" w:rsidRDefault="003D41A8">
      <w:pPr>
        <w:pStyle w:val="JCARSourceNote"/>
        <w:ind w:left="720"/>
      </w:pPr>
      <w:r w:rsidRPr="00D55B37">
        <w:t xml:space="preserve">(Source:  </w:t>
      </w:r>
      <w:r>
        <w:t>Amended</w:t>
      </w:r>
      <w:r w:rsidRPr="00D55B37">
        <w:t xml:space="preserve"> at </w:t>
      </w:r>
      <w:r>
        <w:t>30 I</w:t>
      </w:r>
      <w:r w:rsidRPr="00D55B37">
        <w:t xml:space="preserve">ll. Reg. </w:t>
      </w:r>
      <w:r w:rsidR="00971A57">
        <w:t>3800</w:t>
      </w:r>
      <w:r w:rsidRPr="00D55B37">
        <w:t xml:space="preserve">, effective </w:t>
      </w:r>
      <w:r w:rsidR="00971A57">
        <w:t>February 23, 2006</w:t>
      </w:r>
      <w:r w:rsidRPr="00D55B37">
        <w:t>)</w:t>
      </w:r>
    </w:p>
    <w:sectPr w:rsidR="003D41A8" w:rsidRPr="00D55B37" w:rsidSect="00CB32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2EA"/>
    <w:rsid w:val="00037222"/>
    <w:rsid w:val="00081F56"/>
    <w:rsid w:val="003D41A8"/>
    <w:rsid w:val="005C3366"/>
    <w:rsid w:val="00703989"/>
    <w:rsid w:val="00914D41"/>
    <w:rsid w:val="00971A57"/>
    <w:rsid w:val="009C2028"/>
    <w:rsid w:val="009F68F6"/>
    <w:rsid w:val="00C366E4"/>
    <w:rsid w:val="00CB32EA"/>
    <w:rsid w:val="00D3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7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3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