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A8E" w:rsidRDefault="001D7A8E" w:rsidP="001D7A8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UNDERGROUND INJECTION CONTROL AND</w:t>
      </w:r>
    </w:p>
    <w:p w:rsidR="001D7A8E" w:rsidRDefault="001D7A8E" w:rsidP="001D7A8E">
      <w:pPr>
        <w:widowControl w:val="0"/>
        <w:autoSpaceDE w:val="0"/>
        <w:autoSpaceDN w:val="0"/>
        <w:adjustRightInd w:val="0"/>
        <w:jc w:val="center"/>
      </w:pPr>
      <w:r>
        <w:t>UNDERGROUND STORAGE TANK PROGRAMS</w:t>
      </w:r>
    </w:p>
    <w:sectPr w:rsidR="001D7A8E" w:rsidSect="001D7A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7A8E"/>
    <w:rsid w:val="001D7A8E"/>
    <w:rsid w:val="00362AA6"/>
    <w:rsid w:val="005C3366"/>
    <w:rsid w:val="00756797"/>
    <w:rsid w:val="00DA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UNDERGROUND INJECTION CONTROL AND</vt:lpstr>
    </vt:vector>
  </TitlesOfParts>
  <Company>State of Illinois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UNDERGROUND INJECTION CONTROL AND</dc:title>
  <dc:subject/>
  <dc:creator>Illinois General Assembly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