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CB3" w:rsidRDefault="00AD6CB3" w:rsidP="00AD6CB3">
      <w:bookmarkStart w:id="0" w:name="_GoBack"/>
      <w:bookmarkEnd w:id="0"/>
    </w:p>
    <w:p w:rsidR="00AD6CB3" w:rsidRPr="00AD6CB3" w:rsidRDefault="00AD6CB3" w:rsidP="00AD6CB3">
      <w:pPr>
        <w:rPr>
          <w:b/>
        </w:rPr>
      </w:pPr>
      <w:r w:rsidRPr="00AD6CB3">
        <w:rPr>
          <w:b/>
        </w:rPr>
        <w:t>Section 734.840  Concrete, Asphalt, and Paving; Destruction or Dismantling and Reassembly of Above Grade Structures</w:t>
      </w:r>
    </w:p>
    <w:p w:rsidR="00AD6CB3" w:rsidRDefault="00AD6CB3" w:rsidP="00AD6CB3"/>
    <w:p w:rsidR="00AD6CB3" w:rsidRDefault="00AD6CB3" w:rsidP="00AD6CB3">
      <w:pPr>
        <w:ind w:left="1440" w:hanging="720"/>
        <w:rPr>
          <w:bCs/>
        </w:rPr>
      </w:pPr>
      <w:r>
        <w:rPr>
          <w:bCs/>
        </w:rPr>
        <w:t>a)</w:t>
      </w:r>
      <w:r>
        <w:rPr>
          <w:bCs/>
        </w:rPr>
        <w:tab/>
        <w:t>Payment for costs associated with concrete, asphalt, and paving installed as an engineered barrier, other than replacement concrete, asphalt, and paving, must not exceed the following amounts.  Costs associated with the replacement of concrete, asphalt, and paving used as an engineered barrier are subject to the maximum amounts set forth in subsection (b) of this Section instead of this subsection (a).</w:t>
      </w:r>
    </w:p>
    <w:p w:rsidR="00AD6CB3" w:rsidRDefault="00AD6CB3" w:rsidP="00AD6CB3">
      <w:pPr>
        <w:rPr>
          <w:bCs/>
        </w:rPr>
      </w:pPr>
    </w:p>
    <w:tbl>
      <w:tblPr>
        <w:tblW w:w="0" w:type="auto"/>
        <w:tblInd w:w="1647" w:type="dxa"/>
        <w:tblLook w:val="0000" w:firstRow="0" w:lastRow="0" w:firstColumn="0" w:lastColumn="0" w:noHBand="0" w:noVBand="0"/>
      </w:tblPr>
      <w:tblGrid>
        <w:gridCol w:w="2109"/>
        <w:gridCol w:w="2280"/>
        <w:gridCol w:w="3135"/>
      </w:tblGrid>
      <w:tr w:rsidR="00F85D7D">
        <w:tblPrEx>
          <w:tblCellMar>
            <w:top w:w="0" w:type="dxa"/>
            <w:bottom w:w="0" w:type="dxa"/>
          </w:tblCellMar>
        </w:tblPrEx>
        <w:tc>
          <w:tcPr>
            <w:tcW w:w="4389" w:type="dxa"/>
            <w:gridSpan w:val="2"/>
          </w:tcPr>
          <w:p w:rsidR="00F85D7D" w:rsidRDefault="00F85D7D" w:rsidP="00AD6CB3">
            <w:pPr>
              <w:rPr>
                <w:bCs/>
              </w:rPr>
            </w:pPr>
            <w:r>
              <w:t>Depth of Material</w:t>
            </w:r>
          </w:p>
        </w:tc>
        <w:tc>
          <w:tcPr>
            <w:tcW w:w="3135" w:type="dxa"/>
          </w:tcPr>
          <w:p w:rsidR="00F85D7D" w:rsidRDefault="00F85D7D" w:rsidP="00AD6CB3">
            <w:pPr>
              <w:rPr>
                <w:bCs/>
              </w:rPr>
            </w:pPr>
            <w:r>
              <w:t>Maximum Total Amount</w:t>
            </w:r>
          </w:p>
        </w:tc>
      </w:tr>
      <w:tr w:rsidR="00F85D7D">
        <w:tblPrEx>
          <w:tblCellMar>
            <w:top w:w="0" w:type="dxa"/>
            <w:bottom w:w="0" w:type="dxa"/>
          </w:tblCellMar>
        </w:tblPrEx>
        <w:tc>
          <w:tcPr>
            <w:tcW w:w="4389" w:type="dxa"/>
            <w:gridSpan w:val="2"/>
          </w:tcPr>
          <w:p w:rsidR="00F85D7D" w:rsidRDefault="00F85D7D" w:rsidP="00AD6CB3">
            <w:pPr>
              <w:rPr>
                <w:bCs/>
              </w:rPr>
            </w:pPr>
          </w:p>
        </w:tc>
        <w:tc>
          <w:tcPr>
            <w:tcW w:w="3135" w:type="dxa"/>
          </w:tcPr>
          <w:p w:rsidR="00F85D7D" w:rsidRDefault="00F85D7D" w:rsidP="00AD6CB3">
            <w:pPr>
              <w:rPr>
                <w:bCs/>
              </w:rPr>
            </w:pPr>
            <w:r>
              <w:t>per Square Foot</w:t>
            </w:r>
          </w:p>
        </w:tc>
      </w:tr>
      <w:tr w:rsidR="00F85D7D">
        <w:tblPrEx>
          <w:tblCellMar>
            <w:top w:w="0" w:type="dxa"/>
            <w:bottom w:w="0" w:type="dxa"/>
          </w:tblCellMar>
        </w:tblPrEx>
        <w:tc>
          <w:tcPr>
            <w:tcW w:w="4389" w:type="dxa"/>
            <w:gridSpan w:val="2"/>
          </w:tcPr>
          <w:p w:rsidR="00F85D7D" w:rsidRDefault="00F85D7D" w:rsidP="00AD6CB3">
            <w:pPr>
              <w:rPr>
                <w:bCs/>
              </w:rPr>
            </w:pPr>
          </w:p>
        </w:tc>
        <w:tc>
          <w:tcPr>
            <w:tcW w:w="3135" w:type="dxa"/>
          </w:tcPr>
          <w:p w:rsidR="00F85D7D" w:rsidRDefault="00F85D7D" w:rsidP="00AD6CB3">
            <w:pPr>
              <w:rPr>
                <w:bCs/>
              </w:rPr>
            </w:pPr>
          </w:p>
        </w:tc>
      </w:tr>
      <w:tr w:rsidR="00F85D7D">
        <w:tblPrEx>
          <w:tblCellMar>
            <w:top w:w="0" w:type="dxa"/>
            <w:bottom w:w="0" w:type="dxa"/>
          </w:tblCellMar>
        </w:tblPrEx>
        <w:tc>
          <w:tcPr>
            <w:tcW w:w="4389" w:type="dxa"/>
            <w:gridSpan w:val="2"/>
          </w:tcPr>
          <w:p w:rsidR="00F85D7D" w:rsidRDefault="00F85D7D" w:rsidP="00AD6CB3">
            <w:pPr>
              <w:rPr>
                <w:bCs/>
              </w:rPr>
            </w:pPr>
            <w:r>
              <w:t>Asphalt and paving – 2 inches</w:t>
            </w:r>
          </w:p>
        </w:tc>
        <w:tc>
          <w:tcPr>
            <w:tcW w:w="3135" w:type="dxa"/>
          </w:tcPr>
          <w:p w:rsidR="00F85D7D" w:rsidRDefault="00F85D7D" w:rsidP="00AD6CB3">
            <w:pPr>
              <w:rPr>
                <w:bCs/>
              </w:rPr>
            </w:pPr>
            <w:r>
              <w:t>$1.65</w:t>
            </w:r>
          </w:p>
        </w:tc>
      </w:tr>
      <w:tr w:rsidR="00F85D7D">
        <w:tblPrEx>
          <w:tblCellMar>
            <w:top w:w="0" w:type="dxa"/>
            <w:bottom w:w="0" w:type="dxa"/>
          </w:tblCellMar>
        </w:tblPrEx>
        <w:tc>
          <w:tcPr>
            <w:tcW w:w="4389" w:type="dxa"/>
            <w:gridSpan w:val="2"/>
          </w:tcPr>
          <w:p w:rsidR="00F85D7D" w:rsidRDefault="00F85D7D" w:rsidP="00F85D7D">
            <w:pPr>
              <w:ind w:left="2097"/>
              <w:rPr>
                <w:bCs/>
              </w:rPr>
            </w:pPr>
            <w:r>
              <w:t>3 inches</w:t>
            </w:r>
          </w:p>
        </w:tc>
        <w:tc>
          <w:tcPr>
            <w:tcW w:w="3135" w:type="dxa"/>
          </w:tcPr>
          <w:p w:rsidR="00F85D7D" w:rsidRDefault="00F85D7D" w:rsidP="00AD6CB3">
            <w:pPr>
              <w:rPr>
                <w:bCs/>
              </w:rPr>
            </w:pPr>
            <w:r>
              <w:t>$1.86</w:t>
            </w:r>
          </w:p>
        </w:tc>
      </w:tr>
      <w:tr w:rsidR="00F85D7D">
        <w:tblPrEx>
          <w:tblCellMar>
            <w:top w:w="0" w:type="dxa"/>
            <w:bottom w:w="0" w:type="dxa"/>
          </w:tblCellMar>
        </w:tblPrEx>
        <w:tc>
          <w:tcPr>
            <w:tcW w:w="4389" w:type="dxa"/>
            <w:gridSpan w:val="2"/>
          </w:tcPr>
          <w:p w:rsidR="00F85D7D" w:rsidRDefault="00F85D7D" w:rsidP="00F85D7D">
            <w:pPr>
              <w:ind w:left="2097"/>
              <w:rPr>
                <w:bCs/>
              </w:rPr>
            </w:pPr>
            <w:r>
              <w:t>4 inches</w:t>
            </w:r>
          </w:p>
        </w:tc>
        <w:tc>
          <w:tcPr>
            <w:tcW w:w="3135" w:type="dxa"/>
          </w:tcPr>
          <w:p w:rsidR="00F85D7D" w:rsidRDefault="00F85D7D" w:rsidP="00AD6CB3">
            <w:pPr>
              <w:rPr>
                <w:bCs/>
              </w:rPr>
            </w:pPr>
            <w:r>
              <w:t>$2.38</w:t>
            </w:r>
          </w:p>
        </w:tc>
      </w:tr>
      <w:tr w:rsidR="00F85D7D">
        <w:tblPrEx>
          <w:tblCellMar>
            <w:top w:w="0" w:type="dxa"/>
            <w:bottom w:w="0" w:type="dxa"/>
          </w:tblCellMar>
        </w:tblPrEx>
        <w:tc>
          <w:tcPr>
            <w:tcW w:w="4389" w:type="dxa"/>
            <w:gridSpan w:val="2"/>
          </w:tcPr>
          <w:p w:rsidR="00F85D7D" w:rsidRDefault="00F85D7D" w:rsidP="00AD6CB3">
            <w:pPr>
              <w:rPr>
                <w:bCs/>
              </w:rPr>
            </w:pPr>
          </w:p>
        </w:tc>
        <w:tc>
          <w:tcPr>
            <w:tcW w:w="3135" w:type="dxa"/>
          </w:tcPr>
          <w:p w:rsidR="00F85D7D" w:rsidRDefault="00F85D7D" w:rsidP="00AD6CB3">
            <w:pPr>
              <w:rPr>
                <w:bCs/>
              </w:rPr>
            </w:pPr>
          </w:p>
        </w:tc>
      </w:tr>
      <w:tr w:rsidR="00F85D7D">
        <w:tblPrEx>
          <w:tblCellMar>
            <w:top w:w="0" w:type="dxa"/>
            <w:bottom w:w="0" w:type="dxa"/>
          </w:tblCellMar>
        </w:tblPrEx>
        <w:tc>
          <w:tcPr>
            <w:tcW w:w="2109" w:type="dxa"/>
          </w:tcPr>
          <w:p w:rsidR="00F85D7D" w:rsidRDefault="00F85D7D" w:rsidP="00F85D7D">
            <w:pPr>
              <w:ind w:left="18"/>
              <w:rPr>
                <w:bCs/>
              </w:rPr>
            </w:pPr>
            <w:r>
              <w:t xml:space="preserve">Concrete – </w:t>
            </w:r>
          </w:p>
        </w:tc>
        <w:tc>
          <w:tcPr>
            <w:tcW w:w="2280" w:type="dxa"/>
          </w:tcPr>
          <w:p w:rsidR="00F85D7D" w:rsidRDefault="00F85D7D" w:rsidP="00F85D7D">
            <w:pPr>
              <w:ind w:left="6"/>
              <w:rPr>
                <w:bCs/>
              </w:rPr>
            </w:pPr>
            <w:r>
              <w:t>any depth</w:t>
            </w:r>
          </w:p>
        </w:tc>
        <w:tc>
          <w:tcPr>
            <w:tcW w:w="3135" w:type="dxa"/>
          </w:tcPr>
          <w:p w:rsidR="00F85D7D" w:rsidRDefault="00F85D7D" w:rsidP="00AD6CB3">
            <w:pPr>
              <w:rPr>
                <w:bCs/>
              </w:rPr>
            </w:pPr>
            <w:r>
              <w:t>$2.38</w:t>
            </w:r>
          </w:p>
        </w:tc>
      </w:tr>
      <w:tr w:rsidR="00F85D7D">
        <w:tblPrEx>
          <w:tblCellMar>
            <w:top w:w="0" w:type="dxa"/>
            <w:bottom w:w="0" w:type="dxa"/>
          </w:tblCellMar>
        </w:tblPrEx>
        <w:tc>
          <w:tcPr>
            <w:tcW w:w="4389" w:type="dxa"/>
            <w:gridSpan w:val="2"/>
          </w:tcPr>
          <w:p w:rsidR="00F85D7D" w:rsidRDefault="00F85D7D" w:rsidP="00AD6CB3">
            <w:pPr>
              <w:rPr>
                <w:bCs/>
              </w:rPr>
            </w:pPr>
          </w:p>
        </w:tc>
        <w:tc>
          <w:tcPr>
            <w:tcW w:w="3135" w:type="dxa"/>
          </w:tcPr>
          <w:p w:rsidR="00F85D7D" w:rsidRDefault="00F85D7D" w:rsidP="00AD6CB3">
            <w:pPr>
              <w:rPr>
                <w:bCs/>
              </w:rPr>
            </w:pPr>
          </w:p>
        </w:tc>
      </w:tr>
    </w:tbl>
    <w:p w:rsidR="00AD6CB3" w:rsidRDefault="00AD6CB3" w:rsidP="00AD6CB3"/>
    <w:p w:rsidR="00AD6CB3" w:rsidRDefault="00AD6CB3" w:rsidP="00AD6CB3">
      <w:pPr>
        <w:ind w:left="1440" w:hanging="720"/>
        <w:rPr>
          <w:bCs/>
        </w:rPr>
      </w:pPr>
      <w:r>
        <w:rPr>
          <w:bCs/>
        </w:rPr>
        <w:t>b)</w:t>
      </w:r>
      <w:r>
        <w:rPr>
          <w:bCs/>
        </w:rPr>
        <w:tab/>
        <w:t>Payment for costs associated with the replacement of concrete, asphalt, and paving must not exceed the following amounts:</w:t>
      </w:r>
    </w:p>
    <w:p w:rsidR="00AD6CB3" w:rsidRDefault="00AD6CB3" w:rsidP="00AD6CB3"/>
    <w:tbl>
      <w:tblPr>
        <w:tblW w:w="0" w:type="auto"/>
        <w:tblInd w:w="1533" w:type="dxa"/>
        <w:tblLook w:val="0000" w:firstRow="0" w:lastRow="0" w:firstColumn="0" w:lastColumn="0" w:noHBand="0" w:noVBand="0"/>
      </w:tblPr>
      <w:tblGrid>
        <w:gridCol w:w="1368"/>
        <w:gridCol w:w="3045"/>
        <w:gridCol w:w="3306"/>
      </w:tblGrid>
      <w:tr w:rsidR="00F85D7D">
        <w:tblPrEx>
          <w:tblCellMar>
            <w:top w:w="0" w:type="dxa"/>
            <w:bottom w:w="0" w:type="dxa"/>
          </w:tblCellMar>
        </w:tblPrEx>
        <w:tc>
          <w:tcPr>
            <w:tcW w:w="4413" w:type="dxa"/>
            <w:gridSpan w:val="2"/>
          </w:tcPr>
          <w:p w:rsidR="00F85D7D" w:rsidRDefault="00F85D7D" w:rsidP="00AD6CB3">
            <w:r>
              <w:t>Depth of Material</w:t>
            </w:r>
          </w:p>
        </w:tc>
        <w:tc>
          <w:tcPr>
            <w:tcW w:w="3306" w:type="dxa"/>
          </w:tcPr>
          <w:p w:rsidR="00F85D7D" w:rsidRDefault="00F85D7D" w:rsidP="00AD6CB3">
            <w:r>
              <w:t>Maximum Total Amount</w:t>
            </w:r>
          </w:p>
        </w:tc>
      </w:tr>
      <w:tr w:rsidR="00F85D7D">
        <w:tblPrEx>
          <w:tblCellMar>
            <w:top w:w="0" w:type="dxa"/>
            <w:bottom w:w="0" w:type="dxa"/>
          </w:tblCellMar>
        </w:tblPrEx>
        <w:tc>
          <w:tcPr>
            <w:tcW w:w="4413" w:type="dxa"/>
            <w:gridSpan w:val="2"/>
          </w:tcPr>
          <w:p w:rsidR="00F85D7D" w:rsidRDefault="00F85D7D" w:rsidP="00AD6CB3"/>
        </w:tc>
        <w:tc>
          <w:tcPr>
            <w:tcW w:w="3306" w:type="dxa"/>
          </w:tcPr>
          <w:p w:rsidR="00F85D7D" w:rsidRDefault="00F85D7D" w:rsidP="00AD6CB3">
            <w:r>
              <w:t>per Square Foot</w:t>
            </w:r>
          </w:p>
        </w:tc>
      </w:tr>
      <w:tr w:rsidR="00F85D7D">
        <w:tblPrEx>
          <w:tblCellMar>
            <w:top w:w="0" w:type="dxa"/>
            <w:bottom w:w="0" w:type="dxa"/>
          </w:tblCellMar>
        </w:tblPrEx>
        <w:tc>
          <w:tcPr>
            <w:tcW w:w="4413" w:type="dxa"/>
            <w:gridSpan w:val="2"/>
          </w:tcPr>
          <w:p w:rsidR="00F85D7D" w:rsidRDefault="00F85D7D" w:rsidP="00AD6CB3"/>
        </w:tc>
        <w:tc>
          <w:tcPr>
            <w:tcW w:w="3306" w:type="dxa"/>
          </w:tcPr>
          <w:p w:rsidR="00F85D7D" w:rsidRDefault="00F85D7D" w:rsidP="00AD6CB3"/>
        </w:tc>
      </w:tr>
      <w:tr w:rsidR="00F85D7D">
        <w:tblPrEx>
          <w:tblCellMar>
            <w:top w:w="0" w:type="dxa"/>
            <w:bottom w:w="0" w:type="dxa"/>
          </w:tblCellMar>
        </w:tblPrEx>
        <w:tc>
          <w:tcPr>
            <w:tcW w:w="4413" w:type="dxa"/>
            <w:gridSpan w:val="2"/>
          </w:tcPr>
          <w:p w:rsidR="00F85D7D" w:rsidRDefault="00F85D7D" w:rsidP="00AD6CB3">
            <w:r>
              <w:t>Asphalt and paving – 2 inches</w:t>
            </w:r>
          </w:p>
        </w:tc>
        <w:tc>
          <w:tcPr>
            <w:tcW w:w="3306" w:type="dxa"/>
          </w:tcPr>
          <w:p w:rsidR="00F85D7D" w:rsidRDefault="00F85D7D" w:rsidP="00AD6CB3">
            <w:r>
              <w:t>$1.65</w:t>
            </w:r>
          </w:p>
        </w:tc>
      </w:tr>
      <w:tr w:rsidR="00F85D7D">
        <w:tblPrEx>
          <w:tblCellMar>
            <w:top w:w="0" w:type="dxa"/>
            <w:bottom w:w="0" w:type="dxa"/>
          </w:tblCellMar>
        </w:tblPrEx>
        <w:tc>
          <w:tcPr>
            <w:tcW w:w="4413" w:type="dxa"/>
            <w:gridSpan w:val="2"/>
          </w:tcPr>
          <w:p w:rsidR="00F85D7D" w:rsidRDefault="00F85D7D" w:rsidP="00F85D7D">
            <w:pPr>
              <w:ind w:left="2112"/>
            </w:pPr>
            <w:r>
              <w:t>3 inches</w:t>
            </w:r>
          </w:p>
        </w:tc>
        <w:tc>
          <w:tcPr>
            <w:tcW w:w="3306" w:type="dxa"/>
          </w:tcPr>
          <w:p w:rsidR="00F85D7D" w:rsidRDefault="00F85D7D" w:rsidP="00AD6CB3">
            <w:r>
              <w:t>$1.86</w:t>
            </w:r>
          </w:p>
        </w:tc>
      </w:tr>
      <w:tr w:rsidR="00F85D7D">
        <w:tblPrEx>
          <w:tblCellMar>
            <w:top w:w="0" w:type="dxa"/>
            <w:bottom w:w="0" w:type="dxa"/>
          </w:tblCellMar>
        </w:tblPrEx>
        <w:tc>
          <w:tcPr>
            <w:tcW w:w="4413" w:type="dxa"/>
            <w:gridSpan w:val="2"/>
          </w:tcPr>
          <w:p w:rsidR="00F85D7D" w:rsidRDefault="00F85D7D" w:rsidP="00F85D7D">
            <w:pPr>
              <w:ind w:left="2112"/>
            </w:pPr>
            <w:r>
              <w:t>4 inches</w:t>
            </w:r>
          </w:p>
        </w:tc>
        <w:tc>
          <w:tcPr>
            <w:tcW w:w="3306" w:type="dxa"/>
          </w:tcPr>
          <w:p w:rsidR="00F85D7D" w:rsidRDefault="00F85D7D" w:rsidP="00AD6CB3">
            <w:r>
              <w:t>$2.38</w:t>
            </w:r>
          </w:p>
        </w:tc>
      </w:tr>
      <w:tr w:rsidR="00F85D7D">
        <w:tblPrEx>
          <w:tblCellMar>
            <w:top w:w="0" w:type="dxa"/>
            <w:bottom w:w="0" w:type="dxa"/>
          </w:tblCellMar>
        </w:tblPrEx>
        <w:tc>
          <w:tcPr>
            <w:tcW w:w="4413" w:type="dxa"/>
            <w:gridSpan w:val="2"/>
          </w:tcPr>
          <w:p w:rsidR="00F85D7D" w:rsidRDefault="00F85D7D" w:rsidP="00F85D7D">
            <w:pPr>
              <w:ind w:left="2112"/>
            </w:pPr>
            <w:r>
              <w:t>6 inches</w:t>
            </w:r>
          </w:p>
        </w:tc>
        <w:tc>
          <w:tcPr>
            <w:tcW w:w="3306" w:type="dxa"/>
          </w:tcPr>
          <w:p w:rsidR="00F85D7D" w:rsidRDefault="00F85D7D" w:rsidP="00AD6CB3">
            <w:r>
              <w:t>$3.08</w:t>
            </w:r>
          </w:p>
        </w:tc>
      </w:tr>
      <w:tr w:rsidR="00F85D7D">
        <w:tblPrEx>
          <w:tblCellMar>
            <w:top w:w="0" w:type="dxa"/>
            <w:bottom w:w="0" w:type="dxa"/>
          </w:tblCellMar>
        </w:tblPrEx>
        <w:tc>
          <w:tcPr>
            <w:tcW w:w="4413" w:type="dxa"/>
            <w:gridSpan w:val="2"/>
          </w:tcPr>
          <w:p w:rsidR="00F85D7D" w:rsidRDefault="00F85D7D" w:rsidP="00AD6CB3"/>
        </w:tc>
        <w:tc>
          <w:tcPr>
            <w:tcW w:w="3306" w:type="dxa"/>
          </w:tcPr>
          <w:p w:rsidR="00F85D7D" w:rsidRDefault="00F85D7D" w:rsidP="00AD6CB3"/>
        </w:tc>
      </w:tr>
      <w:tr w:rsidR="00F85D7D">
        <w:tblPrEx>
          <w:tblCellMar>
            <w:top w:w="0" w:type="dxa"/>
            <w:bottom w:w="0" w:type="dxa"/>
          </w:tblCellMar>
        </w:tblPrEx>
        <w:tc>
          <w:tcPr>
            <w:tcW w:w="1368" w:type="dxa"/>
          </w:tcPr>
          <w:p w:rsidR="00F85D7D" w:rsidRDefault="00F85D7D" w:rsidP="00F85D7D">
            <w:r>
              <w:t xml:space="preserve">Concrete –  </w:t>
            </w:r>
          </w:p>
        </w:tc>
        <w:tc>
          <w:tcPr>
            <w:tcW w:w="3045" w:type="dxa"/>
          </w:tcPr>
          <w:p w:rsidR="00F85D7D" w:rsidRDefault="00F85D7D" w:rsidP="00F85D7D">
            <w:pPr>
              <w:ind w:left="747"/>
            </w:pPr>
            <w:r>
              <w:t>2 inches</w:t>
            </w:r>
          </w:p>
        </w:tc>
        <w:tc>
          <w:tcPr>
            <w:tcW w:w="3306" w:type="dxa"/>
          </w:tcPr>
          <w:p w:rsidR="00F85D7D" w:rsidRDefault="00F85D7D" w:rsidP="00AD6CB3">
            <w:r>
              <w:t>$2.45</w:t>
            </w:r>
          </w:p>
        </w:tc>
      </w:tr>
      <w:tr w:rsidR="00F85D7D">
        <w:tblPrEx>
          <w:tblCellMar>
            <w:top w:w="0" w:type="dxa"/>
            <w:bottom w:w="0" w:type="dxa"/>
          </w:tblCellMar>
        </w:tblPrEx>
        <w:tc>
          <w:tcPr>
            <w:tcW w:w="4413" w:type="dxa"/>
            <w:gridSpan w:val="2"/>
          </w:tcPr>
          <w:p w:rsidR="00F85D7D" w:rsidRDefault="00F85D7D" w:rsidP="00F85D7D">
            <w:pPr>
              <w:ind w:left="2130"/>
            </w:pPr>
            <w:r>
              <w:t>3 inches</w:t>
            </w:r>
          </w:p>
        </w:tc>
        <w:tc>
          <w:tcPr>
            <w:tcW w:w="3306" w:type="dxa"/>
          </w:tcPr>
          <w:p w:rsidR="00F85D7D" w:rsidRDefault="00F85D7D" w:rsidP="00AD6CB3">
            <w:r>
              <w:t>$2.93</w:t>
            </w:r>
          </w:p>
        </w:tc>
      </w:tr>
      <w:tr w:rsidR="00F85D7D">
        <w:tblPrEx>
          <w:tblCellMar>
            <w:top w:w="0" w:type="dxa"/>
            <w:bottom w:w="0" w:type="dxa"/>
          </w:tblCellMar>
        </w:tblPrEx>
        <w:tc>
          <w:tcPr>
            <w:tcW w:w="4413" w:type="dxa"/>
            <w:gridSpan w:val="2"/>
          </w:tcPr>
          <w:p w:rsidR="00F85D7D" w:rsidRDefault="00F85D7D" w:rsidP="00F85D7D">
            <w:pPr>
              <w:ind w:left="2130"/>
            </w:pPr>
            <w:r>
              <w:t>4 inches</w:t>
            </w:r>
          </w:p>
        </w:tc>
        <w:tc>
          <w:tcPr>
            <w:tcW w:w="3306" w:type="dxa"/>
          </w:tcPr>
          <w:p w:rsidR="00F85D7D" w:rsidRDefault="00F85D7D" w:rsidP="00AD6CB3">
            <w:r>
              <w:t>$3.41</w:t>
            </w:r>
          </w:p>
        </w:tc>
      </w:tr>
      <w:tr w:rsidR="00F85D7D">
        <w:tblPrEx>
          <w:tblCellMar>
            <w:top w:w="0" w:type="dxa"/>
            <w:bottom w:w="0" w:type="dxa"/>
          </w:tblCellMar>
        </w:tblPrEx>
        <w:tc>
          <w:tcPr>
            <w:tcW w:w="4413" w:type="dxa"/>
            <w:gridSpan w:val="2"/>
          </w:tcPr>
          <w:p w:rsidR="00F85D7D" w:rsidRDefault="00F85D7D" w:rsidP="00F85D7D">
            <w:pPr>
              <w:ind w:left="2130"/>
            </w:pPr>
            <w:r>
              <w:t>5 inches</w:t>
            </w:r>
          </w:p>
        </w:tc>
        <w:tc>
          <w:tcPr>
            <w:tcW w:w="3306" w:type="dxa"/>
          </w:tcPr>
          <w:p w:rsidR="00F85D7D" w:rsidRDefault="00F85D7D" w:rsidP="00AD6CB3">
            <w:r>
              <w:t>$3.89</w:t>
            </w:r>
          </w:p>
        </w:tc>
      </w:tr>
      <w:tr w:rsidR="00F85D7D">
        <w:tblPrEx>
          <w:tblCellMar>
            <w:top w:w="0" w:type="dxa"/>
            <w:bottom w:w="0" w:type="dxa"/>
          </w:tblCellMar>
        </w:tblPrEx>
        <w:tc>
          <w:tcPr>
            <w:tcW w:w="4413" w:type="dxa"/>
            <w:gridSpan w:val="2"/>
          </w:tcPr>
          <w:p w:rsidR="00F85D7D" w:rsidRDefault="00F85D7D" w:rsidP="00F85D7D">
            <w:pPr>
              <w:ind w:left="2130"/>
            </w:pPr>
            <w:r>
              <w:t>6 inches</w:t>
            </w:r>
          </w:p>
        </w:tc>
        <w:tc>
          <w:tcPr>
            <w:tcW w:w="3306" w:type="dxa"/>
          </w:tcPr>
          <w:p w:rsidR="00F85D7D" w:rsidRDefault="00F85D7D" w:rsidP="00AD6CB3">
            <w:r>
              <w:t>$4.36</w:t>
            </w:r>
          </w:p>
        </w:tc>
      </w:tr>
      <w:tr w:rsidR="00F85D7D">
        <w:tblPrEx>
          <w:tblCellMar>
            <w:top w:w="0" w:type="dxa"/>
            <w:bottom w:w="0" w:type="dxa"/>
          </w:tblCellMar>
        </w:tblPrEx>
        <w:tc>
          <w:tcPr>
            <w:tcW w:w="4413" w:type="dxa"/>
            <w:gridSpan w:val="2"/>
          </w:tcPr>
          <w:p w:rsidR="00F85D7D" w:rsidRDefault="00F85D7D" w:rsidP="00F85D7D">
            <w:pPr>
              <w:ind w:left="2130"/>
            </w:pPr>
            <w:r>
              <w:t>8 inches</w:t>
            </w:r>
          </w:p>
        </w:tc>
        <w:tc>
          <w:tcPr>
            <w:tcW w:w="3306" w:type="dxa"/>
          </w:tcPr>
          <w:p w:rsidR="00F85D7D" w:rsidRDefault="00F85D7D" w:rsidP="00AD6CB3">
            <w:r>
              <w:t>$5.31</w:t>
            </w:r>
          </w:p>
        </w:tc>
      </w:tr>
    </w:tbl>
    <w:p w:rsidR="00F85D7D" w:rsidRDefault="00F85D7D" w:rsidP="00AD6CB3"/>
    <w:p w:rsidR="00AD6CB3" w:rsidRDefault="00AD6CB3" w:rsidP="00AD6CB3">
      <w:pPr>
        <w:ind w:left="1440"/>
      </w:pPr>
      <w:r>
        <w:t xml:space="preserve">For depths other than those listed </w:t>
      </w:r>
      <w:r w:rsidR="000B07E0">
        <w:t>in this subsection</w:t>
      </w:r>
      <w:r>
        <w:t>, the Agency must determine reasonable maximum payment amounts on a site-specific basis.</w:t>
      </w:r>
    </w:p>
    <w:p w:rsidR="00AD6CB3" w:rsidRDefault="00AD6CB3" w:rsidP="00AD6CB3"/>
    <w:p w:rsidR="00AD6CB3" w:rsidRDefault="00AD6CB3" w:rsidP="00AD6CB3">
      <w:pPr>
        <w:ind w:left="1440" w:hanging="720"/>
        <w:rPr>
          <w:bCs/>
        </w:rPr>
      </w:pPr>
      <w:r>
        <w:rPr>
          <w:bCs/>
        </w:rPr>
        <w:t>c)</w:t>
      </w:r>
      <w:r>
        <w:rPr>
          <w:bCs/>
        </w:rPr>
        <w:tab/>
        <w:t>Payment for costs associated with the destruction or the dismantling and reassembly of above grade structures must not exceed the time and material amounts set forth in Section 734.850 of this Part.  The total cost for the destruction or the dismantling and reassembly of above grade structures must not exceed $10,000</w:t>
      </w:r>
      <w:r w:rsidR="00F85D7D">
        <w:rPr>
          <w:bCs/>
        </w:rPr>
        <w:t xml:space="preserve"> </w:t>
      </w:r>
      <w:r>
        <w:rPr>
          <w:bCs/>
        </w:rPr>
        <w:t>per site.</w:t>
      </w:r>
    </w:p>
    <w:sectPr w:rsidR="00AD6CB3"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6618">
      <w:r>
        <w:separator/>
      </w:r>
    </w:p>
  </w:endnote>
  <w:endnote w:type="continuationSeparator" w:id="0">
    <w:p w:rsidR="00000000" w:rsidRDefault="00BA6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6618">
      <w:r>
        <w:separator/>
      </w:r>
    </w:p>
  </w:footnote>
  <w:footnote w:type="continuationSeparator" w:id="0">
    <w:p w:rsidR="00000000" w:rsidRDefault="00BA6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07E0"/>
    <w:rsid w:val="000B250D"/>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274EB"/>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D6CB3"/>
    <w:rsid w:val="00AE120A"/>
    <w:rsid w:val="00AE1744"/>
    <w:rsid w:val="00AE5547"/>
    <w:rsid w:val="00B07E7E"/>
    <w:rsid w:val="00B31598"/>
    <w:rsid w:val="00B35D67"/>
    <w:rsid w:val="00B516F7"/>
    <w:rsid w:val="00B66925"/>
    <w:rsid w:val="00B71177"/>
    <w:rsid w:val="00B876EC"/>
    <w:rsid w:val="00BA6618"/>
    <w:rsid w:val="00BF5EF1"/>
    <w:rsid w:val="00C4537A"/>
    <w:rsid w:val="00CC13F9"/>
    <w:rsid w:val="00CD3723"/>
    <w:rsid w:val="00D55B37"/>
    <w:rsid w:val="00D62188"/>
    <w:rsid w:val="00D735B8"/>
    <w:rsid w:val="00D93C67"/>
    <w:rsid w:val="00E7288E"/>
    <w:rsid w:val="00E943C2"/>
    <w:rsid w:val="00E95503"/>
    <w:rsid w:val="00EB424E"/>
    <w:rsid w:val="00F43DEE"/>
    <w:rsid w:val="00F85D7D"/>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CB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CB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2012-06-21T22:05:00Z</dcterms:created>
  <dcterms:modified xsi:type="dcterms:W3CDTF">2012-06-21T22:05:00Z</dcterms:modified>
</cp:coreProperties>
</file>