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68" w:rsidRDefault="007E1B68" w:rsidP="007E1B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1B68" w:rsidRDefault="007E1B68" w:rsidP="007E1B68">
      <w:pPr>
        <w:widowControl w:val="0"/>
        <w:autoSpaceDE w:val="0"/>
        <w:autoSpaceDN w:val="0"/>
        <w:adjustRightInd w:val="0"/>
      </w:pPr>
      <w:r>
        <w:t>SOURCE:  Adopted in R97-16 at 23 Ill. Reg. 515</w:t>
      </w:r>
      <w:r w:rsidR="001836A8">
        <w:t xml:space="preserve">, effective December 22, 1998. </w:t>
      </w:r>
    </w:p>
    <w:sectPr w:rsidR="007E1B68" w:rsidSect="007E1B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1B68"/>
    <w:rsid w:val="001836A8"/>
    <w:rsid w:val="004B06C3"/>
    <w:rsid w:val="005C3366"/>
    <w:rsid w:val="00635AA4"/>
    <w:rsid w:val="007E1B68"/>
    <w:rsid w:val="00FA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R97-16 at 23 Ill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R97-16 at 23 Ill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