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61" w:rsidRDefault="00765061" w:rsidP="007F7A8A">
      <w:pPr>
        <w:widowControl w:val="0"/>
        <w:autoSpaceDE w:val="0"/>
        <w:autoSpaceDN w:val="0"/>
        <w:adjustRightInd w:val="0"/>
        <w:rPr>
          <w:b/>
          <w:bCs/>
        </w:rPr>
      </w:pPr>
    </w:p>
    <w:p w:rsidR="007F7A8A" w:rsidRDefault="007F7A8A" w:rsidP="007F7A8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742.APPENDIX C   Tier 2 Illustrations and Tables </w:t>
      </w:r>
    </w:p>
    <w:p w:rsidR="007F7A8A" w:rsidRDefault="007F7A8A" w:rsidP="007F7A8A">
      <w:pPr>
        <w:widowControl w:val="0"/>
        <w:autoSpaceDE w:val="0"/>
        <w:autoSpaceDN w:val="0"/>
        <w:adjustRightInd w:val="0"/>
      </w:pPr>
    </w:p>
    <w:p w:rsidR="007F7A8A" w:rsidRDefault="007F7A8A" w:rsidP="007F7A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742.TABLE A   SSL Equations</w:t>
      </w:r>
      <w:r>
        <w:t xml:space="preserve"> </w:t>
      </w:r>
    </w:p>
    <w:p w:rsidR="007F7A8A" w:rsidRDefault="007F7A8A" w:rsidP="007F7A8A">
      <w:pPr>
        <w:widowControl w:val="0"/>
        <w:autoSpaceDE w:val="0"/>
        <w:autoSpaceDN w:val="0"/>
        <w:adjustRightInd w:val="0"/>
      </w:pPr>
    </w:p>
    <w:tbl>
      <w:tblPr>
        <w:tblW w:w="9801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2482"/>
        <w:gridCol w:w="5381"/>
        <w:gridCol w:w="450"/>
      </w:tblGrid>
      <w:tr w:rsidR="000337CF" w:rsidTr="00115A55">
        <w:trPr>
          <w:trHeight w:val="1120"/>
        </w:trPr>
        <w:tc>
          <w:tcPr>
            <w:tcW w:w="148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37CF" w:rsidRPr="00986028" w:rsidRDefault="000337CF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337CF" w:rsidRPr="00986028" w:rsidRDefault="000337CF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028">
              <w:rPr>
                <w:sz w:val="20"/>
                <w:szCs w:val="20"/>
              </w:rPr>
              <w:t>Equations for Soil Ingestion Exposure Route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337CF" w:rsidRPr="00986028" w:rsidRDefault="000337CF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028">
              <w:rPr>
                <w:sz w:val="20"/>
                <w:szCs w:val="20"/>
              </w:rPr>
              <w:t>Remediation Objectives for Noncarcinogenic Contaminants (mg/kg)</w:t>
            </w:r>
          </w:p>
        </w:tc>
        <w:tc>
          <w:tcPr>
            <w:tcW w:w="538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37CF" w:rsidRDefault="000337CF" w:rsidP="00033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7CF">
              <w:rPr>
                <w:position w:val="-60"/>
              </w:rPr>
              <w:object w:dxaOrig="3300" w:dyaOrig="1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65.25pt" o:ole="">
                  <v:imagedata r:id="rId6" o:title=""/>
                </v:shape>
                <o:OLEObject Type="Embed" ProgID="Equation.3" ShapeID="_x0000_i1025" DrawAspect="Content" ObjectID="_1430912352" r:id="rId7"/>
              </w:objec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37CF" w:rsidRDefault="000337CF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S1</w:t>
            </w:r>
          </w:p>
        </w:tc>
      </w:tr>
      <w:tr w:rsidR="000337CF" w:rsidTr="00115A55">
        <w:trPr>
          <w:trHeight w:val="1241"/>
        </w:trPr>
        <w:tc>
          <w:tcPr>
            <w:tcW w:w="14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37CF" w:rsidRPr="00986028" w:rsidRDefault="000337CF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37CF" w:rsidRPr="00986028" w:rsidRDefault="000337CF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028">
              <w:rPr>
                <w:sz w:val="20"/>
                <w:szCs w:val="20"/>
              </w:rPr>
              <w:t>Remediation Objectives for Carcinogenic Contaminants − Residential (mg/kg)</w:t>
            </w:r>
          </w:p>
        </w:tc>
        <w:tc>
          <w:tcPr>
            <w:tcW w:w="53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37CF" w:rsidRPr="00544A3D" w:rsidRDefault="00050815" w:rsidP="007F7A8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337CF">
              <w:rPr>
                <w:i/>
                <w:position w:val="-58"/>
              </w:rPr>
              <w:object w:dxaOrig="2880" w:dyaOrig="1280">
                <v:shape id="_x0000_i1026" type="#_x0000_t75" style="width:2in;height:63.75pt" o:ole="">
                  <v:imagedata r:id="rId8" o:title=""/>
                </v:shape>
                <o:OLEObject Type="Embed" ProgID="Equation.3" ShapeID="_x0000_i1026" DrawAspect="Content" ObjectID="_1430912353" r:id="rId9"/>
              </w:objec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37CF" w:rsidRDefault="000337CF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S2</w:t>
            </w:r>
          </w:p>
        </w:tc>
      </w:tr>
      <w:tr w:rsidR="00050815" w:rsidTr="00115A55">
        <w:trPr>
          <w:trHeight w:val="1403"/>
        </w:trPr>
        <w:tc>
          <w:tcPr>
            <w:tcW w:w="14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0815" w:rsidRPr="00986028" w:rsidRDefault="00050815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0815" w:rsidRPr="00986028" w:rsidRDefault="00050815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028">
              <w:rPr>
                <w:sz w:val="20"/>
                <w:szCs w:val="20"/>
              </w:rPr>
              <w:t>Remediation Objectives for Carcinogenic Contaminants − Industrial/Commercial, Construction Worker (mg/kg)</w:t>
            </w:r>
          </w:p>
        </w:tc>
        <w:tc>
          <w:tcPr>
            <w:tcW w:w="53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0815" w:rsidRPr="00544A3D" w:rsidRDefault="00050815" w:rsidP="007F7A8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50815">
              <w:rPr>
                <w:i/>
                <w:position w:val="-58"/>
              </w:rPr>
              <w:object w:dxaOrig="3120" w:dyaOrig="1280">
                <v:shape id="_x0000_i1027" type="#_x0000_t75" style="width:156pt;height:63.75pt" o:ole="">
                  <v:imagedata r:id="rId10" o:title=""/>
                </v:shape>
                <o:OLEObject Type="Embed" ProgID="Equation.3" ShapeID="_x0000_i1027" DrawAspect="Content" ObjectID="_1430912354" r:id="rId11"/>
              </w:objec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0815" w:rsidRDefault="00050815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S3</w:t>
            </w:r>
          </w:p>
        </w:tc>
      </w:tr>
      <w:tr w:rsidR="00050815" w:rsidTr="00115A55">
        <w:trPr>
          <w:trHeight w:val="1583"/>
        </w:trPr>
        <w:tc>
          <w:tcPr>
            <w:tcW w:w="14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0815" w:rsidRDefault="00050815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0815" w:rsidRPr="00986028" w:rsidRDefault="00050815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028">
              <w:rPr>
                <w:sz w:val="20"/>
                <w:szCs w:val="20"/>
              </w:rPr>
              <w:t>Equations for Inhalation Exposure Route (Organic Contaminants and Mercury</w:t>
            </w:r>
          </w:p>
        </w:tc>
        <w:tc>
          <w:tcPr>
            <w:tcW w:w="24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0815" w:rsidRPr="00986028" w:rsidRDefault="00050815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028">
              <w:rPr>
                <w:sz w:val="20"/>
                <w:szCs w:val="20"/>
              </w:rPr>
              <w:t>Remediation Objectives for Noncarcinogenic Contaminants − Residential, Industrial/Commercial (mg/kg)</w:t>
            </w:r>
          </w:p>
        </w:tc>
        <w:tc>
          <w:tcPr>
            <w:tcW w:w="53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0815" w:rsidRPr="00050815" w:rsidRDefault="006C11DF" w:rsidP="007F7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15">
              <w:rPr>
                <w:position w:val="-60"/>
              </w:rPr>
              <w:object w:dxaOrig="2420" w:dyaOrig="1300">
                <v:shape id="_x0000_i1028" type="#_x0000_t75" style="width:120.75pt;height:65.25pt" o:ole="">
                  <v:imagedata r:id="rId12" o:title=""/>
                </v:shape>
                <o:OLEObject Type="Embed" ProgID="Equation.3" ShapeID="_x0000_i1028" DrawAspect="Content" ObjectID="_1430912355" r:id="rId13"/>
              </w:objec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0815" w:rsidRDefault="00050815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S4</w:t>
            </w:r>
          </w:p>
        </w:tc>
      </w:tr>
      <w:tr w:rsidR="006C11DF" w:rsidTr="00115A55">
        <w:trPr>
          <w:trHeight w:val="1448"/>
        </w:trPr>
        <w:tc>
          <w:tcPr>
            <w:tcW w:w="14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DF" w:rsidRPr="00986028" w:rsidRDefault="006C11DF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C11DF" w:rsidRPr="00986028" w:rsidRDefault="006C11DF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028">
              <w:rPr>
                <w:sz w:val="20"/>
                <w:szCs w:val="20"/>
              </w:rPr>
              <w:t>Remediation Objectives for Noncarcinogenic Contaminants − Construction Worker (mg/kg)</w:t>
            </w:r>
          </w:p>
        </w:tc>
        <w:tc>
          <w:tcPr>
            <w:tcW w:w="53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11DF" w:rsidRPr="00544A3D" w:rsidRDefault="006C11DF" w:rsidP="007F7A8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C11DF">
              <w:rPr>
                <w:i/>
                <w:position w:val="-64"/>
              </w:rPr>
              <w:object w:dxaOrig="2380" w:dyaOrig="1340">
                <v:shape id="_x0000_i1029" type="#_x0000_t75" style="width:119.25pt;height:66.75pt" o:ole="">
                  <v:imagedata r:id="rId14" o:title=""/>
                </v:shape>
                <o:OLEObject Type="Embed" ProgID="Equation.3" ShapeID="_x0000_i1029" DrawAspect="Content" ObjectID="_1430912356" r:id="rId15"/>
              </w:object>
            </w:r>
            <w:r w:rsidRPr="006C11DF">
              <w:rPr>
                <w:i/>
                <w:position w:val="-10"/>
              </w:rPr>
              <w:object w:dxaOrig="180" w:dyaOrig="340">
                <v:shape id="_x0000_i1030" type="#_x0000_t75" style="width:9pt;height:17.25pt" o:ole="">
                  <v:imagedata r:id="rId16" o:title=""/>
                </v:shape>
                <o:OLEObject Type="Embed" ProgID="Equation.3" ShapeID="_x0000_i1030" DrawAspect="Content" ObjectID="_1430912357" r:id="rId17"/>
              </w:objec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11DF" w:rsidRDefault="006C11DF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S5</w:t>
            </w:r>
          </w:p>
        </w:tc>
      </w:tr>
      <w:tr w:rsidR="006C11DF" w:rsidTr="00115A55">
        <w:trPr>
          <w:trHeight w:val="1196"/>
        </w:trPr>
        <w:tc>
          <w:tcPr>
            <w:tcW w:w="14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DF" w:rsidRPr="00986028" w:rsidRDefault="006C11DF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C11DF" w:rsidRPr="00986028" w:rsidRDefault="006C11DF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028">
              <w:rPr>
                <w:sz w:val="20"/>
                <w:szCs w:val="20"/>
              </w:rPr>
              <w:t>Remediation Objectives for Carcinogenic Contaminants − Residential, Industrial/ Commercial (mg/kg)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C11DF" w:rsidRPr="00840032" w:rsidRDefault="006C11DF" w:rsidP="007F7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11DF">
              <w:rPr>
                <w:position w:val="-58"/>
              </w:rPr>
              <w:object w:dxaOrig="3000" w:dyaOrig="1280">
                <v:shape id="_x0000_i1031" type="#_x0000_t75" style="width:150pt;height:63.75pt" o:ole="">
                  <v:imagedata r:id="rId18" o:title=""/>
                </v:shape>
                <o:OLEObject Type="Embed" ProgID="Equation.3" ShapeID="_x0000_i1031" DrawAspect="Content" ObjectID="_1430912358" r:id="rId19"/>
              </w:objec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11DF" w:rsidRDefault="006C11DF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S6</w:t>
            </w:r>
          </w:p>
        </w:tc>
      </w:tr>
      <w:tr w:rsidR="006C11DF" w:rsidTr="00115A55">
        <w:trPr>
          <w:trHeight w:val="1178"/>
        </w:trPr>
        <w:tc>
          <w:tcPr>
            <w:tcW w:w="14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DF" w:rsidRPr="00986028" w:rsidRDefault="006C11DF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DF" w:rsidRPr="00986028" w:rsidRDefault="006C11DF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028">
              <w:rPr>
                <w:sz w:val="20"/>
                <w:szCs w:val="20"/>
              </w:rPr>
              <w:t>Remediation Objectives for Carcinogenic Contaminants − Construction Worker (mg/kg)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11DF" w:rsidRDefault="00C31D91" w:rsidP="006C11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11DF">
              <w:rPr>
                <w:position w:val="-58"/>
              </w:rPr>
              <w:object w:dxaOrig="3040" w:dyaOrig="1280">
                <v:shape id="_x0000_i1032" type="#_x0000_t75" style="width:152.25pt;height:63.75pt" o:ole="">
                  <v:imagedata r:id="rId20" o:title=""/>
                </v:shape>
                <o:OLEObject Type="Embed" ProgID="Equation.3" ShapeID="_x0000_i1032" DrawAspect="Content" ObjectID="_1430912359" r:id="rId21"/>
              </w:objec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11DF" w:rsidRDefault="006C11DF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S7</w:t>
            </w:r>
          </w:p>
        </w:tc>
      </w:tr>
      <w:tr w:rsidR="00163C24" w:rsidTr="00115A55">
        <w:trPr>
          <w:trHeight w:val="1205"/>
        </w:trPr>
        <w:tc>
          <w:tcPr>
            <w:tcW w:w="14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3C24" w:rsidRPr="00986028" w:rsidRDefault="00163C24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4" w:rsidRPr="00986028" w:rsidRDefault="00163C24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028">
              <w:rPr>
                <w:sz w:val="20"/>
                <w:szCs w:val="20"/>
              </w:rPr>
              <w:t>Equation for Derivation of the Volatilization Factor − Residential, Industrial/ Commercial, VF (m</w:t>
            </w:r>
            <w:r w:rsidRPr="00986028">
              <w:rPr>
                <w:sz w:val="20"/>
                <w:szCs w:val="20"/>
                <w:vertAlign w:val="superscript"/>
              </w:rPr>
              <w:t>3</w:t>
            </w:r>
            <w:r w:rsidRPr="00986028">
              <w:rPr>
                <w:sz w:val="20"/>
                <w:szCs w:val="20"/>
              </w:rPr>
              <w:t>/kg)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C24" w:rsidRDefault="00B92BCD" w:rsidP="00163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71BC">
              <w:rPr>
                <w:position w:val="-30"/>
                <w:sz w:val="22"/>
                <w:szCs w:val="22"/>
                <w:vertAlign w:val="superscript"/>
              </w:rPr>
              <w:object w:dxaOrig="3700" w:dyaOrig="720">
                <v:shape id="_x0000_i1033" type="#_x0000_t75" style="width:170.25pt;height:38.25pt" o:ole="">
                  <v:imagedata r:id="rId22" o:title=""/>
                </v:shape>
                <o:OLEObject Type="Embed" ProgID="Equation.3" ShapeID="_x0000_i1033" DrawAspect="Content" ObjectID="_1430912360" r:id="rId23"/>
              </w:objec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C24" w:rsidRDefault="00163C24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S8</w:t>
            </w:r>
          </w:p>
        </w:tc>
      </w:tr>
      <w:tr w:rsidR="006C11DF" w:rsidTr="00115A55">
        <w:trPr>
          <w:trHeight w:val="1196"/>
        </w:trPr>
        <w:tc>
          <w:tcPr>
            <w:tcW w:w="14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DF" w:rsidRPr="00986028" w:rsidRDefault="006C11DF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DF" w:rsidRPr="00986028" w:rsidRDefault="006C11DF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028">
              <w:rPr>
                <w:sz w:val="20"/>
                <w:szCs w:val="20"/>
              </w:rPr>
              <w:t>Equation for Derivation of the Volatilization Factor − Construction Worker, VF</w:t>
            </w:r>
            <w:r w:rsidRPr="00986028">
              <w:rPr>
                <w:i/>
                <w:sz w:val="20"/>
                <w:szCs w:val="20"/>
              </w:rPr>
              <w:t xml:space="preserve">' </w:t>
            </w:r>
            <w:r w:rsidRPr="00986028">
              <w:rPr>
                <w:sz w:val="20"/>
                <w:szCs w:val="20"/>
              </w:rPr>
              <w:t>(m</w:t>
            </w:r>
            <w:r w:rsidRPr="00986028">
              <w:rPr>
                <w:sz w:val="20"/>
                <w:szCs w:val="20"/>
                <w:vertAlign w:val="superscript"/>
              </w:rPr>
              <w:t>3</w:t>
            </w:r>
            <w:r w:rsidRPr="00986028">
              <w:rPr>
                <w:sz w:val="20"/>
                <w:szCs w:val="20"/>
              </w:rPr>
              <w:t>/kg)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11DF" w:rsidRDefault="006C11DF" w:rsidP="00231A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1A1B">
              <w:rPr>
                <w:i/>
              </w:rPr>
              <w:t>VF</w:t>
            </w:r>
            <w:r>
              <w:t xml:space="preserve">' = </w:t>
            </w:r>
            <w:r w:rsidRPr="00231A1B">
              <w:rPr>
                <w:position w:val="-24"/>
              </w:rPr>
              <w:object w:dxaOrig="420" w:dyaOrig="620">
                <v:shape id="_x0000_i1034" type="#_x0000_t75" style="width:21pt;height:30.75pt" o:ole="">
                  <v:imagedata r:id="rId24" o:title=""/>
                </v:shape>
                <o:OLEObject Type="Embed" ProgID="Equation.3" ShapeID="_x0000_i1034" DrawAspect="Content" ObjectID="_1430912361" r:id="rId25"/>
              </w:objec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11DF" w:rsidRDefault="006C11DF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S9</w:t>
            </w:r>
          </w:p>
        </w:tc>
      </w:tr>
      <w:tr w:rsidR="00C31D91" w:rsidTr="00115A55">
        <w:trPr>
          <w:trHeight w:val="920"/>
        </w:trPr>
        <w:tc>
          <w:tcPr>
            <w:tcW w:w="14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1D91" w:rsidRPr="00E91231" w:rsidRDefault="00C31D91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91" w:rsidRPr="00986028" w:rsidRDefault="00C31D91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028">
              <w:rPr>
                <w:sz w:val="20"/>
                <w:szCs w:val="20"/>
              </w:rPr>
              <w:t>Equation for Derivation of Apparent Diffusivity, D</w:t>
            </w:r>
            <w:r w:rsidRPr="00986028">
              <w:rPr>
                <w:sz w:val="20"/>
                <w:szCs w:val="20"/>
                <w:vertAlign w:val="subscript"/>
              </w:rPr>
              <w:t>A</w:t>
            </w:r>
            <w:r w:rsidRPr="00986028">
              <w:rPr>
                <w:sz w:val="20"/>
                <w:szCs w:val="20"/>
              </w:rPr>
              <w:t xml:space="preserve"> (cm</w:t>
            </w:r>
            <w:r w:rsidRPr="00986028">
              <w:rPr>
                <w:sz w:val="20"/>
                <w:szCs w:val="20"/>
                <w:vertAlign w:val="superscript"/>
              </w:rPr>
              <w:t>2</w:t>
            </w:r>
            <w:r w:rsidRPr="00986028">
              <w:rPr>
                <w:sz w:val="20"/>
                <w:szCs w:val="20"/>
              </w:rPr>
              <w:t>/s)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31D91" w:rsidRPr="004106C1" w:rsidRDefault="006F4B2B" w:rsidP="00C31D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06C1">
              <w:rPr>
                <w:position w:val="-30"/>
              </w:rPr>
              <w:object w:dxaOrig="5860" w:dyaOrig="720">
                <v:shape id="_x0000_i1035" type="#_x0000_t75" style="width:255pt;height:31.5pt" o:ole="">
                  <v:imagedata r:id="rId26" o:title=""/>
                </v:shape>
                <o:OLEObject Type="Embed" ProgID="Equation.3" ShapeID="_x0000_i1035" DrawAspect="Content" ObjectID="_1430912362" r:id="rId27"/>
              </w:objec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1D91" w:rsidRDefault="00C31D91" w:rsidP="007F7A8A">
            <w:pPr>
              <w:widowControl w:val="0"/>
              <w:autoSpaceDE w:val="0"/>
              <w:autoSpaceDN w:val="0"/>
              <w:adjustRightInd w:val="0"/>
              <w:ind w:left="-106" w:right="-108"/>
              <w:jc w:val="center"/>
            </w:pPr>
            <w:r>
              <w:t>S10</w:t>
            </w:r>
          </w:p>
        </w:tc>
      </w:tr>
      <w:tr w:rsidR="006F4B2B" w:rsidTr="00115A55">
        <w:trPr>
          <w:trHeight w:val="1538"/>
        </w:trPr>
        <w:tc>
          <w:tcPr>
            <w:tcW w:w="14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4B2B" w:rsidRDefault="006F4B2B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4B2B" w:rsidRPr="007160BB" w:rsidRDefault="006F4B2B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60BB">
              <w:rPr>
                <w:sz w:val="20"/>
                <w:szCs w:val="20"/>
              </w:rPr>
              <w:t>Equations for Inhalation Exposure Route (Fugitive Dusts)</w:t>
            </w:r>
          </w:p>
        </w:tc>
        <w:tc>
          <w:tcPr>
            <w:tcW w:w="24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6F82" w:rsidRPr="00986028" w:rsidRDefault="006F4B2B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028">
              <w:rPr>
                <w:sz w:val="20"/>
                <w:szCs w:val="20"/>
              </w:rPr>
              <w:t xml:space="preserve">Remediation Objectives for Noncarcinogenic Contaminants − </w:t>
            </w:r>
            <w:r>
              <w:rPr>
                <w:sz w:val="20"/>
                <w:szCs w:val="20"/>
              </w:rPr>
              <w:t>Residential, Industrial/</w:t>
            </w:r>
            <w:r w:rsidRPr="00986028">
              <w:rPr>
                <w:sz w:val="20"/>
                <w:szCs w:val="20"/>
              </w:rPr>
              <w:t>Commercial (mg/kg)</w:t>
            </w:r>
            <w:r w:rsidR="00692E95" w:rsidRPr="009860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4B2B" w:rsidRDefault="006F4B2B" w:rsidP="006F4B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B2B">
              <w:rPr>
                <w:position w:val="-64"/>
              </w:rPr>
              <w:object w:dxaOrig="2520" w:dyaOrig="1340">
                <v:shape id="_x0000_i1036" type="#_x0000_t75" style="width:126pt;height:66.75pt" o:ole="">
                  <v:imagedata r:id="rId28" o:title=""/>
                </v:shape>
                <o:OLEObject Type="Embed" ProgID="Equation.3" ShapeID="_x0000_i1036" DrawAspect="Content" ObjectID="_1430912363" r:id="rId29"/>
              </w:objec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4B2B" w:rsidRDefault="006F4B2B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S11</w:t>
            </w:r>
          </w:p>
        </w:tc>
      </w:tr>
      <w:tr w:rsidR="006F4B2B" w:rsidTr="00115A55">
        <w:trPr>
          <w:trHeight w:val="1390"/>
        </w:trPr>
        <w:tc>
          <w:tcPr>
            <w:tcW w:w="14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4B2B" w:rsidRDefault="006F4B2B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4B2B" w:rsidRPr="00986028" w:rsidRDefault="006F4B2B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028">
              <w:rPr>
                <w:sz w:val="20"/>
                <w:szCs w:val="20"/>
              </w:rPr>
              <w:t xml:space="preserve">Remediation Objectives for Noncarcinogenic Contaminants − </w:t>
            </w:r>
            <w:r>
              <w:rPr>
                <w:sz w:val="20"/>
                <w:szCs w:val="20"/>
              </w:rPr>
              <w:t xml:space="preserve">Construction Worker </w:t>
            </w:r>
            <w:r w:rsidRPr="00986028">
              <w:rPr>
                <w:sz w:val="20"/>
                <w:szCs w:val="20"/>
              </w:rPr>
              <w:t>(mg/kg)</w:t>
            </w:r>
          </w:p>
        </w:tc>
        <w:tc>
          <w:tcPr>
            <w:tcW w:w="53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4B2B" w:rsidRDefault="006F4B2B" w:rsidP="006F4B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B2B">
              <w:rPr>
                <w:position w:val="-10"/>
              </w:rPr>
              <w:object w:dxaOrig="180" w:dyaOrig="340">
                <v:shape id="_x0000_i1037" type="#_x0000_t75" style="width:9pt;height:17.25pt" o:ole="">
                  <v:imagedata r:id="rId16" o:title=""/>
                </v:shape>
                <o:OLEObject Type="Embed" ProgID="Equation.3" ShapeID="_x0000_i1037" DrawAspect="Content" ObjectID="_1430912364" r:id="rId30"/>
              </w:object>
            </w:r>
            <w:r w:rsidRPr="006F4B2B">
              <w:rPr>
                <w:position w:val="-64"/>
              </w:rPr>
              <w:object w:dxaOrig="2560" w:dyaOrig="1340">
                <v:shape id="_x0000_i1038" type="#_x0000_t75" style="width:128.25pt;height:66.75pt" o:ole="">
                  <v:imagedata r:id="rId31" o:title=""/>
                </v:shape>
                <o:OLEObject Type="Embed" ProgID="Equation.3" ShapeID="_x0000_i1038" DrawAspect="Content" ObjectID="_1430912365" r:id="rId32"/>
              </w:objec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4B2B" w:rsidRDefault="006F4B2B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S12</w:t>
            </w:r>
          </w:p>
        </w:tc>
      </w:tr>
      <w:tr w:rsidR="006F4B2B" w:rsidTr="00115A55">
        <w:trPr>
          <w:trHeight w:val="1040"/>
        </w:trPr>
        <w:tc>
          <w:tcPr>
            <w:tcW w:w="14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4B2B" w:rsidRDefault="006F4B2B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4B2B" w:rsidRPr="00986028" w:rsidRDefault="006F4B2B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028">
              <w:rPr>
                <w:sz w:val="20"/>
                <w:szCs w:val="20"/>
              </w:rPr>
              <w:t xml:space="preserve">Remediation Objectives for </w:t>
            </w:r>
            <w:r>
              <w:rPr>
                <w:sz w:val="20"/>
                <w:szCs w:val="20"/>
              </w:rPr>
              <w:t>C</w:t>
            </w:r>
            <w:r w:rsidRPr="00986028">
              <w:rPr>
                <w:sz w:val="20"/>
                <w:szCs w:val="20"/>
              </w:rPr>
              <w:t xml:space="preserve">arcinogenic Contaminants − </w:t>
            </w:r>
            <w:r>
              <w:rPr>
                <w:sz w:val="20"/>
                <w:szCs w:val="20"/>
              </w:rPr>
              <w:t>Residential, Industrial/ Commercial (mg/kg)</w:t>
            </w:r>
          </w:p>
        </w:tc>
        <w:tc>
          <w:tcPr>
            <w:tcW w:w="53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4B2B" w:rsidRDefault="006F4B2B" w:rsidP="006F4B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B2B">
              <w:rPr>
                <w:position w:val="-58"/>
              </w:rPr>
              <w:object w:dxaOrig="3180" w:dyaOrig="1280">
                <v:shape id="_x0000_i1039" type="#_x0000_t75" style="width:159pt;height:63.75pt" o:ole="">
                  <v:imagedata r:id="rId33" o:title=""/>
                </v:shape>
                <o:OLEObject Type="Embed" ProgID="Equation.3" ShapeID="_x0000_i1039" DrawAspect="Content" ObjectID="_1430912366" r:id="rId34"/>
              </w:objec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4B2B" w:rsidRDefault="006F4B2B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S13</w:t>
            </w:r>
          </w:p>
        </w:tc>
      </w:tr>
      <w:tr w:rsidR="006F4B2B" w:rsidTr="00115A55">
        <w:trPr>
          <w:trHeight w:val="1040"/>
        </w:trPr>
        <w:tc>
          <w:tcPr>
            <w:tcW w:w="14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4B2B" w:rsidRDefault="006F4B2B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4B2B" w:rsidRPr="00986028" w:rsidRDefault="006F4B2B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6028">
              <w:rPr>
                <w:sz w:val="20"/>
                <w:szCs w:val="20"/>
              </w:rPr>
              <w:t xml:space="preserve">Remediation Objectives for </w:t>
            </w:r>
            <w:r>
              <w:rPr>
                <w:sz w:val="20"/>
                <w:szCs w:val="20"/>
              </w:rPr>
              <w:t>C</w:t>
            </w:r>
            <w:r w:rsidRPr="00986028">
              <w:rPr>
                <w:sz w:val="20"/>
                <w:szCs w:val="20"/>
              </w:rPr>
              <w:t xml:space="preserve">arcinogenic Contaminants − </w:t>
            </w:r>
            <w:r>
              <w:rPr>
                <w:sz w:val="20"/>
                <w:szCs w:val="20"/>
              </w:rPr>
              <w:t>Construction Worker (mg/kg)</w:t>
            </w:r>
          </w:p>
        </w:tc>
        <w:tc>
          <w:tcPr>
            <w:tcW w:w="53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4B2B" w:rsidRDefault="006F4B2B" w:rsidP="006F4B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68F">
              <w:rPr>
                <w:position w:val="-58"/>
              </w:rPr>
              <w:object w:dxaOrig="3220" w:dyaOrig="1280">
                <v:shape id="_x0000_i1040" type="#_x0000_t75" style="width:161.25pt;height:63.75pt" o:ole="">
                  <v:imagedata r:id="rId35" o:title=""/>
                </v:shape>
                <o:OLEObject Type="Embed" ProgID="Equation.3" ShapeID="_x0000_i1040" DrawAspect="Content" ObjectID="_1430912367" r:id="rId36"/>
              </w:objec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4B2B" w:rsidRDefault="006F4B2B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S14</w:t>
            </w:r>
          </w:p>
        </w:tc>
      </w:tr>
      <w:tr w:rsidR="006F4B2B" w:rsidTr="00115A55">
        <w:trPr>
          <w:trHeight w:val="1232"/>
        </w:trPr>
        <w:tc>
          <w:tcPr>
            <w:tcW w:w="14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4B2B" w:rsidRDefault="006F4B2B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4B2B" w:rsidRPr="00B215F7" w:rsidRDefault="006F4B2B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Equation for Derivation of Particulate Emission Factor, PEF (m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/kg)</w:t>
            </w:r>
          </w:p>
        </w:tc>
        <w:tc>
          <w:tcPr>
            <w:tcW w:w="53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4B2B" w:rsidRDefault="00163C24" w:rsidP="006F4B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B2B">
              <w:rPr>
                <w:position w:val="-72"/>
              </w:rPr>
              <w:object w:dxaOrig="4080" w:dyaOrig="1380">
                <v:shape id="_x0000_i1041" type="#_x0000_t75" style="width:204pt;height:69pt" o:ole="">
                  <v:imagedata r:id="rId37" o:title=""/>
                </v:shape>
                <o:OLEObject Type="Embed" ProgID="Equation.3" ShapeID="_x0000_i1041" DrawAspect="Content" ObjectID="_1430912368" r:id="rId38"/>
              </w:objec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4B2B" w:rsidRDefault="006F4B2B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S15</w:t>
            </w:r>
          </w:p>
        </w:tc>
      </w:tr>
      <w:tr w:rsidR="00034564" w:rsidTr="00034564">
        <w:trPr>
          <w:trHeight w:val="1190"/>
        </w:trPr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4564" w:rsidRDefault="00034564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4564" w:rsidRPr="00986028" w:rsidRDefault="00034564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Equation for Derivation of Particulate Emission Factor, PEF' − Construction Worker (m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/kg)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034564" w:rsidRDefault="00034564" w:rsidP="00163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C24">
              <w:rPr>
                <w:position w:val="-24"/>
              </w:rPr>
              <w:object w:dxaOrig="1320" w:dyaOrig="620">
                <v:shape id="_x0000_i1042" type="#_x0000_t75" style="width:66pt;height:30.75pt" o:ole="">
                  <v:imagedata r:id="rId39" o:title=""/>
                </v:shape>
                <o:OLEObject Type="Embed" ProgID="Equation.3" ShapeID="_x0000_i1042" DrawAspect="Content" ObjectID="_1430912369" r:id="rId40"/>
              </w:object>
            </w:r>
          </w:p>
          <w:p w:rsidR="00034564" w:rsidRPr="00692E95" w:rsidRDefault="00034564" w:rsidP="007F7A8A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034564" w:rsidRDefault="00034564" w:rsidP="007F7A8A">
            <w:pPr>
              <w:widowControl w:val="0"/>
              <w:autoSpaceDE w:val="0"/>
              <w:autoSpaceDN w:val="0"/>
              <w:adjustRightInd w:val="0"/>
            </w:pPr>
            <w:r w:rsidRPr="00146C3F">
              <w:rPr>
                <w:sz w:val="18"/>
                <w:szCs w:val="18"/>
              </w:rPr>
              <w:t>NOTE: PEF must be the industrial/commercial value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34564" w:rsidRDefault="00034564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S16</w:t>
            </w:r>
          </w:p>
        </w:tc>
      </w:tr>
    </w:tbl>
    <w:p w:rsidR="007F7A8A" w:rsidRDefault="007F7A8A" w:rsidP="007F7A8A"/>
    <w:p w:rsidR="007F7A8A" w:rsidRDefault="007F7A8A" w:rsidP="007F7A8A">
      <w:r>
        <w:br w:type="page"/>
      </w:r>
    </w:p>
    <w:tbl>
      <w:tblPr>
        <w:tblW w:w="9797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2500"/>
        <w:gridCol w:w="4776"/>
        <w:gridCol w:w="548"/>
        <w:gridCol w:w="469"/>
      </w:tblGrid>
      <w:tr w:rsidR="00692E95" w:rsidTr="00692E95">
        <w:trPr>
          <w:trHeight w:val="1401"/>
        </w:trPr>
        <w:tc>
          <w:tcPr>
            <w:tcW w:w="150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E95" w:rsidRDefault="00692E95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2E95" w:rsidRDefault="00692E95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60BB">
              <w:rPr>
                <w:sz w:val="20"/>
                <w:szCs w:val="20"/>
              </w:rPr>
              <w:t xml:space="preserve">Equations for </w:t>
            </w:r>
            <w:r>
              <w:rPr>
                <w:sz w:val="20"/>
                <w:szCs w:val="20"/>
              </w:rPr>
              <w:t xml:space="preserve">the Soil Component of the Groundwater Ingestion </w:t>
            </w:r>
            <w:r w:rsidRPr="007160BB">
              <w:rPr>
                <w:sz w:val="20"/>
                <w:szCs w:val="20"/>
              </w:rPr>
              <w:t xml:space="preserve">Exposure Route </w:t>
            </w:r>
          </w:p>
        </w:tc>
        <w:tc>
          <w:tcPr>
            <w:tcW w:w="25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2E95" w:rsidRDefault="00692E95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Remediation Objective</w:t>
            </w:r>
          </w:p>
          <w:p w:rsidR="00692E95" w:rsidRPr="00986028" w:rsidRDefault="00692E95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(mg/kg)</w:t>
            </w:r>
          </w:p>
        </w:tc>
        <w:tc>
          <w:tcPr>
            <w:tcW w:w="532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2E95" w:rsidRDefault="00692E95" w:rsidP="00163C24">
            <w:pPr>
              <w:widowControl w:val="0"/>
              <w:autoSpaceDE w:val="0"/>
              <w:autoSpaceDN w:val="0"/>
              <w:adjustRightInd w:val="0"/>
              <w:ind w:left="-63"/>
              <w:jc w:val="center"/>
            </w:pPr>
            <w:r w:rsidRPr="00163C24">
              <w:rPr>
                <w:position w:val="-32"/>
              </w:rPr>
              <w:object w:dxaOrig="2560" w:dyaOrig="760">
                <v:shape id="_x0000_i1043" type="#_x0000_t75" style="width:128.25pt;height:38.25pt" o:ole="">
                  <v:imagedata r:id="rId41" o:title=""/>
                </v:shape>
                <o:OLEObject Type="Embed" ProgID="Equation.3" ShapeID="_x0000_i1043" DrawAspect="Content" ObjectID="_1430912370" r:id="rId42"/>
              </w:object>
            </w:r>
          </w:p>
          <w:p w:rsidR="00692E95" w:rsidRPr="00692E95" w:rsidRDefault="00692E95" w:rsidP="007F7A8A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692E95" w:rsidRDefault="00692E95" w:rsidP="007F7A8A">
            <w:pPr>
              <w:widowControl w:val="0"/>
              <w:autoSpaceDE w:val="0"/>
              <w:autoSpaceDN w:val="0"/>
              <w:adjustRightInd w:val="0"/>
            </w:pPr>
            <w:r w:rsidRPr="000E7226">
              <w:rPr>
                <w:sz w:val="18"/>
                <w:szCs w:val="18"/>
              </w:rPr>
              <w:t>NOTE:</w:t>
            </w:r>
            <w:r>
              <w:rPr>
                <w:sz w:val="18"/>
                <w:szCs w:val="18"/>
              </w:rPr>
              <w:t xml:space="preserve">  This equation can only be used to model contaminant migration not in the water bearing unit.</w:t>
            </w:r>
          </w:p>
        </w:tc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E95" w:rsidRDefault="00692E95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S17</w:t>
            </w:r>
          </w:p>
        </w:tc>
      </w:tr>
      <w:tr w:rsidR="007F7A8A" w:rsidTr="007F7A8A">
        <w:trPr>
          <w:trHeight w:val="683"/>
        </w:trPr>
        <w:tc>
          <w:tcPr>
            <w:tcW w:w="150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A8A" w:rsidRDefault="007F7A8A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F7A8A" w:rsidRPr="000E7226" w:rsidRDefault="007F7A8A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 Soil Leachate Concentration, C</w:t>
            </w:r>
            <w:r>
              <w:rPr>
                <w:sz w:val="20"/>
                <w:szCs w:val="20"/>
                <w:vertAlign w:val="subscript"/>
              </w:rPr>
              <w:t>w</w:t>
            </w:r>
            <w:r>
              <w:rPr>
                <w:sz w:val="20"/>
                <w:szCs w:val="20"/>
              </w:rPr>
              <w:t xml:space="preserve"> (mg/L)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F7A8A" w:rsidRPr="000E7226" w:rsidRDefault="007F7A8A" w:rsidP="007F7A8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bscript"/>
              </w:rPr>
            </w:pPr>
            <w:r w:rsidRPr="000E7226">
              <w:rPr>
                <w:i/>
              </w:rPr>
              <w:t>C</w:t>
            </w:r>
            <w:r w:rsidRPr="000E7226">
              <w:rPr>
                <w:i/>
                <w:vertAlign w:val="subscript"/>
              </w:rPr>
              <w:t>w</w:t>
            </w:r>
            <w:r w:rsidRPr="000E7226">
              <w:rPr>
                <w:i/>
              </w:rPr>
              <w:t xml:space="preserve"> = DF </w:t>
            </w:r>
            <w:r w:rsidRPr="00986028">
              <w:rPr>
                <w:i/>
              </w:rPr>
              <w:t>•</w:t>
            </w:r>
            <w:r w:rsidRPr="000E7226">
              <w:rPr>
                <w:i/>
                <w:sz w:val="16"/>
                <w:szCs w:val="16"/>
              </w:rPr>
              <w:t xml:space="preserve"> </w:t>
            </w:r>
            <w:r w:rsidRPr="000E7226">
              <w:rPr>
                <w:i/>
              </w:rPr>
              <w:t>GW</w:t>
            </w:r>
            <w:r w:rsidRPr="000E7226">
              <w:rPr>
                <w:i/>
                <w:vertAlign w:val="subscript"/>
              </w:rPr>
              <w:t>obj</w:t>
            </w:r>
          </w:p>
        </w:tc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7A8A" w:rsidRDefault="007F7A8A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S18</w:t>
            </w:r>
          </w:p>
        </w:tc>
      </w:tr>
      <w:tr w:rsidR="007F7A8A" w:rsidTr="007F7A8A">
        <w:trPr>
          <w:trHeight w:val="683"/>
        </w:trPr>
        <w:tc>
          <w:tcPr>
            <w:tcW w:w="150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A8A" w:rsidRDefault="007F7A8A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F7A8A" w:rsidRPr="000E7226" w:rsidRDefault="007F7A8A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Soil-Water Partition Coefficient, K</w:t>
            </w:r>
            <w:r>
              <w:rPr>
                <w:sz w:val="20"/>
                <w:szCs w:val="20"/>
                <w:vertAlign w:val="subscript"/>
              </w:rPr>
              <w:t>d</w:t>
            </w:r>
            <w:r>
              <w:rPr>
                <w:sz w:val="20"/>
                <w:szCs w:val="20"/>
              </w:rPr>
              <w:t xml:space="preserve"> (cm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/g)</w:t>
            </w:r>
          </w:p>
        </w:tc>
        <w:tc>
          <w:tcPr>
            <w:tcW w:w="53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7A8A" w:rsidRPr="00295127" w:rsidRDefault="007F7A8A" w:rsidP="007F7A8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bscript"/>
              </w:rPr>
            </w:pPr>
            <w:r w:rsidRPr="00295127">
              <w:rPr>
                <w:i/>
              </w:rPr>
              <w:t>K</w:t>
            </w:r>
            <w:r>
              <w:rPr>
                <w:i/>
                <w:vertAlign w:val="subscript"/>
              </w:rPr>
              <w:t>d</w:t>
            </w:r>
            <w:r>
              <w:rPr>
                <w:i/>
              </w:rPr>
              <w:t xml:space="preserve"> = K</w:t>
            </w:r>
            <w:r>
              <w:rPr>
                <w:i/>
                <w:vertAlign w:val="subscript"/>
              </w:rPr>
              <w:t>oc</w:t>
            </w:r>
            <w:r>
              <w:rPr>
                <w:i/>
              </w:rPr>
              <w:t xml:space="preserve"> </w:t>
            </w:r>
            <w:r w:rsidRPr="00986028">
              <w:rPr>
                <w:i/>
              </w:rPr>
              <w:t>•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vertAlign w:val="subscript"/>
              </w:rPr>
              <w:t>oc</w:t>
            </w:r>
          </w:p>
        </w:tc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7A8A" w:rsidRDefault="007F7A8A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S19</w:t>
            </w:r>
          </w:p>
        </w:tc>
      </w:tr>
      <w:tr w:rsidR="00163C24" w:rsidTr="00692E95">
        <w:trPr>
          <w:trHeight w:val="780"/>
        </w:trPr>
        <w:tc>
          <w:tcPr>
            <w:tcW w:w="150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C24" w:rsidRDefault="00163C24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3C24" w:rsidRDefault="00163C24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Water-Filled Soil Porosity,</w:t>
            </w:r>
          </w:p>
          <w:p w:rsidR="00163C24" w:rsidRPr="000E7226" w:rsidRDefault="00CE11FB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1FB">
              <w:t>θ</w:t>
            </w:r>
            <w:r w:rsidR="00163C24" w:rsidRPr="000E7226">
              <w:rPr>
                <w:vertAlign w:val="subscript"/>
              </w:rPr>
              <w:t>w</w:t>
            </w:r>
            <w:r w:rsidR="00163C24">
              <w:rPr>
                <w:vertAlign w:val="subscript"/>
              </w:rPr>
              <w:t xml:space="preserve"> </w:t>
            </w:r>
            <w:r w:rsidR="00163C24">
              <w:t>(L</w:t>
            </w:r>
            <w:r w:rsidR="00163C24">
              <w:rPr>
                <w:vertAlign w:val="subscript"/>
              </w:rPr>
              <w:t>water</w:t>
            </w:r>
            <w:r w:rsidR="00163C24">
              <w:t>/L</w:t>
            </w:r>
            <w:r w:rsidR="00163C24">
              <w:rPr>
                <w:vertAlign w:val="subscript"/>
              </w:rPr>
              <w:t>soil</w:t>
            </w:r>
            <w:r w:rsidR="00163C24">
              <w:t>)</w:t>
            </w:r>
          </w:p>
        </w:tc>
        <w:tc>
          <w:tcPr>
            <w:tcW w:w="53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3C24" w:rsidRPr="000A5D6F" w:rsidRDefault="00163C24" w:rsidP="00163C24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vertAlign w:val="subscript"/>
              </w:rPr>
            </w:pPr>
            <w:r w:rsidRPr="00163C24">
              <w:rPr>
                <w:position w:val="-32"/>
                <w:vertAlign w:val="subscript"/>
              </w:rPr>
              <w:object w:dxaOrig="1960" w:dyaOrig="800">
                <v:shape id="_x0000_i1044" type="#_x0000_t75" style="width:98.25pt;height:39.75pt" o:ole="">
                  <v:imagedata r:id="rId43" o:title=""/>
                </v:shape>
                <o:OLEObject Type="Embed" ProgID="Equation.3" ShapeID="_x0000_i1044" DrawAspect="Content" ObjectID="_1430912371" r:id="rId44"/>
              </w:object>
            </w:r>
          </w:p>
        </w:tc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C24" w:rsidRDefault="00163C24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S20</w:t>
            </w:r>
          </w:p>
        </w:tc>
      </w:tr>
      <w:tr w:rsidR="007F7A8A" w:rsidTr="007F7A8A">
        <w:trPr>
          <w:trHeight w:val="340"/>
        </w:trPr>
        <w:tc>
          <w:tcPr>
            <w:tcW w:w="150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A8A" w:rsidRDefault="007F7A8A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F7A8A" w:rsidRDefault="007F7A8A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Air-Filled Soil Porosity,</w:t>
            </w:r>
          </w:p>
          <w:p w:rsidR="007F7A8A" w:rsidRDefault="00CE11FB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1FB">
              <w:t>θ</w:t>
            </w:r>
            <w:r w:rsidR="007F7A8A">
              <w:rPr>
                <w:vertAlign w:val="subscript"/>
              </w:rPr>
              <w:t xml:space="preserve">a </w:t>
            </w:r>
            <w:r w:rsidR="007F7A8A">
              <w:t>(L</w:t>
            </w:r>
            <w:r w:rsidR="007F7A8A">
              <w:rPr>
                <w:vertAlign w:val="subscript"/>
              </w:rPr>
              <w:t>air</w:t>
            </w:r>
            <w:r w:rsidR="007F7A8A">
              <w:t>/L</w:t>
            </w:r>
            <w:r w:rsidR="007F7A8A">
              <w:rPr>
                <w:vertAlign w:val="subscript"/>
              </w:rPr>
              <w:t>soil</w:t>
            </w:r>
            <w:r w:rsidR="007F7A8A">
              <w:t>)</w:t>
            </w:r>
          </w:p>
        </w:tc>
        <w:tc>
          <w:tcPr>
            <w:tcW w:w="53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7A8A" w:rsidRPr="000E7226" w:rsidRDefault="007F7A8A" w:rsidP="007F7A8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7226">
              <w:t>θ</w:t>
            </w:r>
            <w:r>
              <w:rPr>
                <w:vertAlign w:val="subscript"/>
              </w:rPr>
              <w:t>a</w:t>
            </w:r>
            <w:r w:rsidRPr="000E7226">
              <w:rPr>
                <w:i/>
              </w:rPr>
              <w:t xml:space="preserve"> = </w:t>
            </w:r>
            <w:r w:rsidRPr="000A5D6F">
              <w:rPr>
                <w:i/>
              </w:rPr>
              <w:t>η</w:t>
            </w:r>
            <w:r w:rsidRPr="000E7226">
              <w:rPr>
                <w:i/>
                <w:vertAlign w:val="subscript"/>
              </w:rPr>
              <w:t xml:space="preserve"> </w:t>
            </w:r>
            <w:r w:rsidRPr="000A5D6F">
              <w:rPr>
                <w:i/>
              </w:rPr>
              <w:t>- θ</w:t>
            </w:r>
            <w:r w:rsidRPr="000A5D6F">
              <w:rPr>
                <w:i/>
                <w:vertAlign w:val="subscript"/>
              </w:rPr>
              <w:t>w</w:t>
            </w:r>
          </w:p>
        </w:tc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7A8A" w:rsidRDefault="007F7A8A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S21</w:t>
            </w:r>
          </w:p>
        </w:tc>
      </w:tr>
      <w:tr w:rsidR="00163C24" w:rsidTr="002D33CD">
        <w:trPr>
          <w:trHeight w:val="590"/>
        </w:trPr>
        <w:tc>
          <w:tcPr>
            <w:tcW w:w="150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C24" w:rsidRDefault="00163C24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3C24" w:rsidRDefault="00163C24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Dilution Factor, DF (unitless)</w:t>
            </w:r>
          </w:p>
        </w:tc>
        <w:tc>
          <w:tcPr>
            <w:tcW w:w="53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3C24" w:rsidRPr="00295127" w:rsidRDefault="00163C24" w:rsidP="007F7A8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63C24">
              <w:rPr>
                <w:i/>
                <w:position w:val="-24"/>
              </w:rPr>
              <w:object w:dxaOrig="1760" w:dyaOrig="620">
                <v:shape id="_x0000_i1045" type="#_x0000_t75" style="width:87.75pt;height:30.75pt" o:ole="">
                  <v:imagedata r:id="rId45" o:title=""/>
                </v:shape>
                <o:OLEObject Type="Embed" ProgID="Equation.3" ShapeID="_x0000_i1045" DrawAspect="Content" ObjectID="_1430912372" r:id="rId46"/>
              </w:object>
            </w:r>
          </w:p>
        </w:tc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C24" w:rsidRDefault="00163C24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S22</w:t>
            </w:r>
          </w:p>
        </w:tc>
      </w:tr>
      <w:tr w:rsidR="00163C24" w:rsidTr="00517627">
        <w:trPr>
          <w:trHeight w:val="970"/>
        </w:trPr>
        <w:tc>
          <w:tcPr>
            <w:tcW w:w="1504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63C24" w:rsidRDefault="00163C24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4" w:rsidRPr="00295127" w:rsidRDefault="00163C24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Groundwater Remediation Objection for Carcinogenic Contaminants, GW</w:t>
            </w:r>
            <w:r>
              <w:rPr>
                <w:sz w:val="20"/>
                <w:szCs w:val="20"/>
                <w:vertAlign w:val="subscript"/>
              </w:rPr>
              <w:t>obj</w:t>
            </w:r>
            <w:r>
              <w:rPr>
                <w:sz w:val="20"/>
                <w:szCs w:val="20"/>
              </w:rPr>
              <w:t xml:space="preserve"> (mg/L)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63C24" w:rsidRPr="000E7226" w:rsidRDefault="002D33CD" w:rsidP="007F7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C24">
              <w:rPr>
                <w:position w:val="-30"/>
              </w:rPr>
              <w:object w:dxaOrig="2380" w:dyaOrig="999">
                <v:shape id="_x0000_i1046" type="#_x0000_t75" style="width:119.25pt;height:50.25pt" o:ole="">
                  <v:imagedata r:id="rId47" o:title=""/>
                </v:shape>
                <o:OLEObject Type="Embed" ProgID="Equation.3" ShapeID="_x0000_i1046" DrawAspect="Content" ObjectID="_1430912373" r:id="rId48"/>
              </w:object>
            </w:r>
          </w:p>
        </w:tc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C24" w:rsidRDefault="00163C24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S23</w:t>
            </w:r>
          </w:p>
        </w:tc>
      </w:tr>
      <w:tr w:rsidR="002D33CD" w:rsidTr="00692E95">
        <w:trPr>
          <w:trHeight w:val="710"/>
        </w:trPr>
        <w:tc>
          <w:tcPr>
            <w:tcW w:w="150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D33CD" w:rsidRDefault="002D33CD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CD" w:rsidRPr="00B02FB3" w:rsidRDefault="002D33CD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Soil Porosity, </w:t>
            </w:r>
            <w:r w:rsidRPr="000A5D6F">
              <w:rPr>
                <w:i/>
              </w:rPr>
              <w:t>η</w:t>
            </w:r>
            <w:r>
              <w:rPr>
                <w:i/>
              </w:rPr>
              <w:t xml:space="preserve"> </w:t>
            </w:r>
            <w:r w:rsidR="00561720">
              <w:t>(</w:t>
            </w:r>
            <w:r>
              <w:t>L</w:t>
            </w:r>
            <w:r>
              <w:rPr>
                <w:vertAlign w:val="subscript"/>
              </w:rPr>
              <w:t>pore</w:t>
            </w:r>
            <w:r>
              <w:t>/L</w:t>
            </w:r>
            <w:r>
              <w:rPr>
                <w:vertAlign w:val="subscript"/>
              </w:rPr>
              <w:t>soil</w:t>
            </w:r>
            <w:r>
              <w:t>)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33CD" w:rsidRDefault="002D33CD" w:rsidP="007F7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3CD">
              <w:rPr>
                <w:position w:val="-30"/>
              </w:rPr>
              <w:object w:dxaOrig="1040" w:dyaOrig="680">
                <v:shape id="_x0000_i1047" type="#_x0000_t75" style="width:51.75pt;height:33.75pt" o:ole="">
                  <v:imagedata r:id="rId49" o:title=""/>
                </v:shape>
                <o:OLEObject Type="Embed" ProgID="Equation.3" ShapeID="_x0000_i1047" DrawAspect="Content" ObjectID="_1430912374" r:id="rId50"/>
              </w:object>
            </w:r>
          </w:p>
        </w:tc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33CD" w:rsidRDefault="002D33CD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S24</w:t>
            </w:r>
          </w:p>
        </w:tc>
      </w:tr>
      <w:tr w:rsidR="002D33CD" w:rsidTr="00517627">
        <w:trPr>
          <w:trHeight w:val="720"/>
        </w:trPr>
        <w:tc>
          <w:tcPr>
            <w:tcW w:w="15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33CD" w:rsidRDefault="002D33CD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CD" w:rsidRDefault="002D33CD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Equation for Estimation of Mixing Zone Depth, d (m)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CD" w:rsidRPr="00EB49DF" w:rsidRDefault="002D33CD" w:rsidP="007F7A8A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 w:rsidRPr="002D33CD">
              <w:rPr>
                <w:position w:val="-32"/>
              </w:rPr>
              <w:object w:dxaOrig="4099" w:dyaOrig="760">
                <v:shape id="_x0000_i1048" type="#_x0000_t75" style="width:204.75pt;height:38.25pt" o:ole="">
                  <v:imagedata r:id="rId51" o:title=""/>
                </v:shape>
                <o:OLEObject Type="Embed" ProgID="Equation.3" ShapeID="_x0000_i1048" DrawAspect="Content" ObjectID="_1430912375" r:id="rId52"/>
              </w:objec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3CD" w:rsidRPr="00EB49DF" w:rsidRDefault="002D33CD" w:rsidP="007F7A8A">
            <w:pPr>
              <w:widowControl w:val="0"/>
              <w:autoSpaceDE w:val="0"/>
              <w:autoSpaceDN w:val="0"/>
              <w:adjustRightInd w:val="0"/>
              <w:ind w:left="-102" w:right="-126"/>
              <w:rPr>
                <w:sz w:val="56"/>
                <w:szCs w:val="5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33CD" w:rsidRDefault="002D33CD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S25</w:t>
            </w:r>
          </w:p>
        </w:tc>
      </w:tr>
      <w:tr w:rsidR="00692E95" w:rsidTr="00692E95">
        <w:trPr>
          <w:trHeight w:val="1988"/>
        </w:trPr>
        <w:tc>
          <w:tcPr>
            <w:tcW w:w="150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92E95" w:rsidRPr="00BC71DE" w:rsidRDefault="00692E95" w:rsidP="007F7A8A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692E95" w:rsidRPr="00FA0EE2" w:rsidRDefault="00692E95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EE2">
              <w:rPr>
                <w:sz w:val="20"/>
                <w:szCs w:val="20"/>
              </w:rPr>
              <w:t>Mass-Limit Equations for Inhalation Exposure Route and Soil Component of the Groundwater Ingestion Exposure Route</w:t>
            </w:r>
          </w:p>
        </w:tc>
        <w:tc>
          <w:tcPr>
            <w:tcW w:w="25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2E95" w:rsidRPr="007F1E8E" w:rsidRDefault="00692E95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Mass-Limit Volatilization Factor for the Inhalation Exposure Route − Residential, Industrial/Commercial VF (</w:t>
            </w:r>
            <w:r w:rsidRPr="007F1E8E">
              <w:rPr>
                <w:sz w:val="20"/>
                <w:szCs w:val="20"/>
              </w:rPr>
              <w:t>m3</w:t>
            </w:r>
            <w:r>
              <w:rPr>
                <w:sz w:val="20"/>
                <w:szCs w:val="20"/>
              </w:rPr>
              <w:t>/</w:t>
            </w:r>
            <w:r w:rsidRPr="007F1E8E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2E95" w:rsidRDefault="00692E95" w:rsidP="007F7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3CD">
              <w:rPr>
                <w:position w:val="-56"/>
              </w:rPr>
              <w:object w:dxaOrig="3660" w:dyaOrig="1359">
                <v:shape id="_x0000_i1049" type="#_x0000_t75" style="width:183pt;height:68.25pt" o:ole="">
                  <v:imagedata r:id="rId53" o:title=""/>
                </v:shape>
                <o:OLEObject Type="Embed" ProgID="Equation.3" ShapeID="_x0000_i1049" DrawAspect="Content" ObjectID="_1430912376" r:id="rId54"/>
              </w:object>
            </w:r>
          </w:p>
          <w:p w:rsidR="00692E95" w:rsidRPr="00692E95" w:rsidRDefault="00692E95" w:rsidP="007F7A8A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2"/>
                <w:szCs w:val="12"/>
              </w:rPr>
            </w:pPr>
          </w:p>
          <w:p w:rsidR="00692E95" w:rsidRDefault="00692E95" w:rsidP="007F7A8A">
            <w:pPr>
              <w:widowControl w:val="0"/>
              <w:autoSpaceDE w:val="0"/>
              <w:autoSpaceDN w:val="0"/>
              <w:adjustRightInd w:val="0"/>
              <w:ind w:right="-82"/>
            </w:pPr>
            <w:r w:rsidRPr="00FA0EE2">
              <w:rPr>
                <w:sz w:val="18"/>
                <w:szCs w:val="18"/>
              </w:rPr>
              <w:t>NOTE: This equation may be used when vertical thickness of contamination is known or can be estimated reliably.</w:t>
            </w:r>
          </w:p>
        </w:tc>
        <w:tc>
          <w:tcPr>
            <w:tcW w:w="4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92E95" w:rsidRDefault="00692E95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S26</w:t>
            </w:r>
          </w:p>
        </w:tc>
      </w:tr>
      <w:tr w:rsidR="00C27611" w:rsidTr="00692E95">
        <w:trPr>
          <w:trHeight w:val="133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7611" w:rsidRDefault="00C27611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6F82" w:rsidRDefault="00C27611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Mass-Limit Volatilization Factor for the Inhalation Exposure Route − Construction Worker, VT' − (</w:t>
            </w:r>
            <w:r w:rsidRPr="007F1E8E">
              <w:rPr>
                <w:sz w:val="20"/>
                <w:szCs w:val="20"/>
              </w:rPr>
              <w:t>m3</w:t>
            </w:r>
            <w:r>
              <w:rPr>
                <w:sz w:val="20"/>
                <w:szCs w:val="20"/>
              </w:rPr>
              <w:t>/</w:t>
            </w:r>
            <w:r w:rsidRPr="007F1E8E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611" w:rsidRPr="00BC71DE" w:rsidRDefault="00C27611" w:rsidP="007F7A8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27611">
              <w:rPr>
                <w:i/>
                <w:position w:val="-24"/>
              </w:rPr>
              <w:object w:dxaOrig="1620" w:dyaOrig="620">
                <v:shape id="_x0000_i1050" type="#_x0000_t75" style="width:81pt;height:30.75pt" o:ole="">
                  <v:imagedata r:id="rId55" o:title=""/>
                </v:shape>
                <o:OLEObject Type="Embed" ProgID="Equation.3" ShapeID="_x0000_i1050" DrawAspect="Content" ObjectID="_1430912377" r:id="rId56"/>
              </w:object>
            </w:r>
          </w:p>
        </w:tc>
        <w:tc>
          <w:tcPr>
            <w:tcW w:w="4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7611" w:rsidRDefault="00C27611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S27</w:t>
            </w:r>
          </w:p>
        </w:tc>
      </w:tr>
      <w:tr w:rsidR="00692E95" w:rsidTr="00034564">
        <w:trPr>
          <w:trHeight w:val="129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2E95" w:rsidRDefault="00692E95" w:rsidP="007F7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2E95" w:rsidRDefault="00692E95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Mass-Limit Remediation Objective for Soil Component of the Groundwater Ingestion Exposure Route (mg/kg)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2E95" w:rsidRDefault="00692E95" w:rsidP="007F7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7611">
              <w:rPr>
                <w:position w:val="-30"/>
              </w:rPr>
              <w:object w:dxaOrig="2040" w:dyaOrig="680">
                <v:shape id="_x0000_i1051" type="#_x0000_t75" style="width:102pt;height:33.75pt" o:ole="">
                  <v:imagedata r:id="rId57" o:title=""/>
                </v:shape>
                <o:OLEObject Type="Embed" ProgID="Equation.3" ShapeID="_x0000_i1051" DrawAspect="Content" ObjectID="_1430912378" r:id="rId58"/>
              </w:object>
            </w:r>
          </w:p>
          <w:p w:rsidR="00692E95" w:rsidRPr="00692E95" w:rsidRDefault="00692E95" w:rsidP="00692E95">
            <w:pPr>
              <w:pStyle w:val="ListBullet"/>
              <w:numPr>
                <w:ilvl w:val="0"/>
                <w:numId w:val="0"/>
              </w:numPr>
              <w:rPr>
                <w:sz w:val="12"/>
                <w:szCs w:val="12"/>
              </w:rPr>
            </w:pPr>
          </w:p>
          <w:p w:rsidR="00692E95" w:rsidRDefault="00692E95" w:rsidP="00692E95">
            <w:pPr>
              <w:pStyle w:val="ListBullet"/>
              <w:numPr>
                <w:ilvl w:val="0"/>
                <w:numId w:val="0"/>
              </w:numPr>
            </w:pPr>
            <w:r>
              <w:rPr>
                <w:sz w:val="18"/>
                <w:szCs w:val="18"/>
              </w:rPr>
              <w:t>NOTE:  This equation may be used when vertical thickness is known or can be estimated reliably.</w:t>
            </w:r>
          </w:p>
        </w:tc>
        <w:tc>
          <w:tcPr>
            <w:tcW w:w="4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92E95" w:rsidRDefault="00692E95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S28</w:t>
            </w:r>
          </w:p>
        </w:tc>
      </w:tr>
      <w:tr w:rsidR="00E54093" w:rsidTr="00E54093">
        <w:trPr>
          <w:trHeight w:val="850"/>
        </w:trPr>
        <w:tc>
          <w:tcPr>
            <w:tcW w:w="4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093" w:rsidRPr="001E5A3E" w:rsidRDefault="00E54093" w:rsidP="007F7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lastRenderedPageBreak/>
              <w:t>Equation for Derivation of the Soil Saturation Limit, C</w:t>
            </w:r>
            <w:r>
              <w:rPr>
                <w:sz w:val="20"/>
                <w:szCs w:val="20"/>
                <w:vertAlign w:val="subscript"/>
              </w:rPr>
              <w:t>sat</w:t>
            </w:r>
          </w:p>
        </w:tc>
        <w:tc>
          <w:tcPr>
            <w:tcW w:w="532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4093" w:rsidRPr="001E5A3E" w:rsidRDefault="00E54093" w:rsidP="00E540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4093">
              <w:rPr>
                <w:position w:val="-30"/>
              </w:rPr>
              <w:object w:dxaOrig="3519" w:dyaOrig="680">
                <v:shape id="_x0000_i1052" type="#_x0000_t75" style="width:176.25pt;height:33.75pt" o:ole="">
                  <v:imagedata r:id="rId59" o:title=""/>
                </v:shape>
                <o:OLEObject Type="Embed" ProgID="Equation.3" ShapeID="_x0000_i1052" DrawAspect="Content" ObjectID="_1430912379" r:id="rId60"/>
              </w:objec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4093" w:rsidRDefault="00E54093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S29</w:t>
            </w:r>
          </w:p>
        </w:tc>
      </w:tr>
      <w:tr w:rsidR="00AA067C" w:rsidTr="00115A55">
        <w:trPr>
          <w:trHeight w:val="850"/>
        </w:trPr>
        <w:tc>
          <w:tcPr>
            <w:tcW w:w="4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7C" w:rsidRPr="00B4762D" w:rsidRDefault="00AA067C" w:rsidP="00BF6F82">
            <w:pPr>
              <w:widowControl w:val="0"/>
              <w:autoSpaceDE w:val="0"/>
              <w:autoSpaceDN w:val="0"/>
              <w:adjustRightInd w:val="0"/>
              <w:ind w:left="-18" w:right="-109"/>
              <w:rPr>
                <w:sz w:val="20"/>
                <w:szCs w:val="20"/>
              </w:rPr>
            </w:pPr>
            <w:r w:rsidRPr="00115A55">
              <w:rPr>
                <w:sz w:val="20"/>
                <w:szCs w:val="20"/>
              </w:rPr>
              <w:t>Equation for the soil gas component of the Outdoor Inhalation Exposure Route</w:t>
            </w:r>
          </w:p>
        </w:tc>
        <w:tc>
          <w:tcPr>
            <w:tcW w:w="532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A067C" w:rsidRPr="00647DEF" w:rsidRDefault="00647DEF" w:rsidP="00E540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5A55">
              <w:rPr>
                <w:position w:val="-30"/>
              </w:rPr>
              <w:object w:dxaOrig="4151" w:dyaOrig="876">
                <v:shape id="_x0000_i1053" type="#_x0000_t75" style="width:171.75pt;height:36.75pt" o:ole="">
                  <v:imagedata r:id="rId61" o:title=""/>
                </v:shape>
                <o:OLEObject Type="Embed" ProgID="Equation.3" ShapeID="_x0000_i1053" DrawAspect="Content" ObjectID="_1430912380" r:id="rId62"/>
              </w:objec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067C" w:rsidRPr="00F55A41" w:rsidRDefault="00AA067C" w:rsidP="0051010A"/>
          <w:p w:rsidR="00AA067C" w:rsidRPr="00F55A41" w:rsidRDefault="00AA067C" w:rsidP="007F7A8A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 w:rsidRPr="00F55A41">
              <w:t>S30</w:t>
            </w:r>
          </w:p>
        </w:tc>
      </w:tr>
    </w:tbl>
    <w:p w:rsidR="007F7A8A" w:rsidRDefault="007F7A8A" w:rsidP="007F7A8A">
      <w:pPr>
        <w:widowControl w:val="0"/>
        <w:autoSpaceDE w:val="0"/>
        <w:autoSpaceDN w:val="0"/>
        <w:adjustRightInd w:val="0"/>
      </w:pPr>
    </w:p>
    <w:p w:rsidR="00AA067C" w:rsidRPr="00D55B37" w:rsidRDefault="00AA067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E4792">
        <w:t>7</w:t>
      </w:r>
      <w:r>
        <w:t xml:space="preserve"> I</w:t>
      </w:r>
      <w:r w:rsidRPr="00D55B37">
        <w:t xml:space="preserve">ll. Reg. </w:t>
      </w:r>
      <w:r w:rsidR="005B0E52">
        <w:t>7506</w:t>
      </w:r>
      <w:r w:rsidRPr="00D55B37">
        <w:t xml:space="preserve">, effective </w:t>
      </w:r>
      <w:bookmarkStart w:id="0" w:name="_GoBack"/>
      <w:r w:rsidR="005B0E52">
        <w:t>May 15, 2013</w:t>
      </w:r>
      <w:bookmarkEnd w:id="0"/>
      <w:r w:rsidRPr="00D55B37">
        <w:t>)</w:t>
      </w:r>
    </w:p>
    <w:sectPr w:rsidR="00AA067C" w:rsidRPr="00D55B37" w:rsidSect="0021724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149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3B0"/>
    <w:rsid w:val="000337CF"/>
    <w:rsid w:val="00034564"/>
    <w:rsid w:val="00050815"/>
    <w:rsid w:val="0006352F"/>
    <w:rsid w:val="000871BC"/>
    <w:rsid w:val="000A5D6F"/>
    <w:rsid w:val="000B032B"/>
    <w:rsid w:val="000E1F7C"/>
    <w:rsid w:val="000E7226"/>
    <w:rsid w:val="000F02AB"/>
    <w:rsid w:val="00115A55"/>
    <w:rsid w:val="00144CC2"/>
    <w:rsid w:val="00146C3F"/>
    <w:rsid w:val="00154FB0"/>
    <w:rsid w:val="00163C24"/>
    <w:rsid w:val="001B5225"/>
    <w:rsid w:val="001D7B94"/>
    <w:rsid w:val="001E5942"/>
    <w:rsid w:val="001E5A3E"/>
    <w:rsid w:val="001F7A5E"/>
    <w:rsid w:val="00203E0B"/>
    <w:rsid w:val="00215D65"/>
    <w:rsid w:val="00217241"/>
    <w:rsid w:val="00217F73"/>
    <w:rsid w:val="00231A1B"/>
    <w:rsid w:val="00246C54"/>
    <w:rsid w:val="00261D36"/>
    <w:rsid w:val="002813DE"/>
    <w:rsid w:val="002915A0"/>
    <w:rsid w:val="00295127"/>
    <w:rsid w:val="002D33CD"/>
    <w:rsid w:val="002D477B"/>
    <w:rsid w:val="002F0786"/>
    <w:rsid w:val="002F1420"/>
    <w:rsid w:val="0030014D"/>
    <w:rsid w:val="00314BD6"/>
    <w:rsid w:val="00321B6B"/>
    <w:rsid w:val="0035250D"/>
    <w:rsid w:val="003632BB"/>
    <w:rsid w:val="003C05A6"/>
    <w:rsid w:val="003C7315"/>
    <w:rsid w:val="003D13B0"/>
    <w:rsid w:val="003E4792"/>
    <w:rsid w:val="003F1D09"/>
    <w:rsid w:val="004106C1"/>
    <w:rsid w:val="0042074F"/>
    <w:rsid w:val="004C7E96"/>
    <w:rsid w:val="0051010A"/>
    <w:rsid w:val="00514951"/>
    <w:rsid w:val="00517627"/>
    <w:rsid w:val="00524132"/>
    <w:rsid w:val="00541368"/>
    <w:rsid w:val="00542827"/>
    <w:rsid w:val="0054447F"/>
    <w:rsid w:val="00544A3D"/>
    <w:rsid w:val="0055237F"/>
    <w:rsid w:val="00557113"/>
    <w:rsid w:val="00561720"/>
    <w:rsid w:val="00594816"/>
    <w:rsid w:val="005B0E52"/>
    <w:rsid w:val="005C3366"/>
    <w:rsid w:val="005D2856"/>
    <w:rsid w:val="005D360B"/>
    <w:rsid w:val="006023A9"/>
    <w:rsid w:val="006345FA"/>
    <w:rsid w:val="00647DEF"/>
    <w:rsid w:val="006571F9"/>
    <w:rsid w:val="006871AE"/>
    <w:rsid w:val="00692E95"/>
    <w:rsid w:val="006B0198"/>
    <w:rsid w:val="006C11DF"/>
    <w:rsid w:val="006F4B2B"/>
    <w:rsid w:val="006F54E9"/>
    <w:rsid w:val="007160BB"/>
    <w:rsid w:val="00765061"/>
    <w:rsid w:val="007655C8"/>
    <w:rsid w:val="00793BBB"/>
    <w:rsid w:val="007E7722"/>
    <w:rsid w:val="007F1E8E"/>
    <w:rsid w:val="007F7A8A"/>
    <w:rsid w:val="008170A6"/>
    <w:rsid w:val="00840032"/>
    <w:rsid w:val="00881EBE"/>
    <w:rsid w:val="008B155C"/>
    <w:rsid w:val="008B240F"/>
    <w:rsid w:val="00941481"/>
    <w:rsid w:val="00986028"/>
    <w:rsid w:val="009B6538"/>
    <w:rsid w:val="009D1B4F"/>
    <w:rsid w:val="009D6B84"/>
    <w:rsid w:val="00A45524"/>
    <w:rsid w:val="00A95CF2"/>
    <w:rsid w:val="00AA067C"/>
    <w:rsid w:val="00B02FB3"/>
    <w:rsid w:val="00B1031A"/>
    <w:rsid w:val="00B15F79"/>
    <w:rsid w:val="00B213EA"/>
    <w:rsid w:val="00B215F7"/>
    <w:rsid w:val="00B4762D"/>
    <w:rsid w:val="00B6542C"/>
    <w:rsid w:val="00B92BCD"/>
    <w:rsid w:val="00BC4D8D"/>
    <w:rsid w:val="00BC71DE"/>
    <w:rsid w:val="00BD7C0B"/>
    <w:rsid w:val="00BE2501"/>
    <w:rsid w:val="00BF6F82"/>
    <w:rsid w:val="00C27611"/>
    <w:rsid w:val="00C31D91"/>
    <w:rsid w:val="00C67194"/>
    <w:rsid w:val="00CA59BF"/>
    <w:rsid w:val="00CD1D06"/>
    <w:rsid w:val="00CE11FB"/>
    <w:rsid w:val="00D231B3"/>
    <w:rsid w:val="00D307C8"/>
    <w:rsid w:val="00D42456"/>
    <w:rsid w:val="00D56D85"/>
    <w:rsid w:val="00DD4EF8"/>
    <w:rsid w:val="00DE4ACA"/>
    <w:rsid w:val="00E05FF0"/>
    <w:rsid w:val="00E54093"/>
    <w:rsid w:val="00E91231"/>
    <w:rsid w:val="00E97F8B"/>
    <w:rsid w:val="00EB49DF"/>
    <w:rsid w:val="00ED1335"/>
    <w:rsid w:val="00ED7723"/>
    <w:rsid w:val="00EE0D0E"/>
    <w:rsid w:val="00EF2072"/>
    <w:rsid w:val="00F01A32"/>
    <w:rsid w:val="00F5531F"/>
    <w:rsid w:val="00F55A41"/>
    <w:rsid w:val="00F60BA0"/>
    <w:rsid w:val="00F675C4"/>
    <w:rsid w:val="00F845DC"/>
    <w:rsid w:val="00F912DA"/>
    <w:rsid w:val="00FA0EE2"/>
    <w:rsid w:val="00F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A8A"/>
    <w:rPr>
      <w:sz w:val="24"/>
      <w:szCs w:val="24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1E5A3E"/>
    <w:pPr>
      <w:numPr>
        <w:numId w:val="1"/>
      </w:numPr>
    </w:pPr>
  </w:style>
  <w:style w:type="paragraph" w:customStyle="1" w:styleId="JCARSourceNote">
    <w:name w:val="JCAR Source Note"/>
    <w:basedOn w:val="Normal"/>
    <w:rsid w:val="00541368"/>
  </w:style>
  <w:style w:type="paragraph" w:styleId="Header">
    <w:name w:val="header"/>
    <w:basedOn w:val="Normal"/>
    <w:link w:val="HeaderChar"/>
    <w:rsid w:val="00AA06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067C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A8A"/>
    <w:rPr>
      <w:sz w:val="24"/>
      <w:szCs w:val="24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1E5A3E"/>
    <w:pPr>
      <w:numPr>
        <w:numId w:val="1"/>
      </w:numPr>
    </w:pPr>
  </w:style>
  <w:style w:type="paragraph" w:customStyle="1" w:styleId="JCARSourceNote">
    <w:name w:val="JCAR Source Note"/>
    <w:basedOn w:val="Normal"/>
    <w:rsid w:val="00541368"/>
  </w:style>
  <w:style w:type="paragraph" w:styleId="Header">
    <w:name w:val="header"/>
    <w:basedOn w:val="Normal"/>
    <w:link w:val="HeaderChar"/>
    <w:rsid w:val="00AA06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067C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cp:lastPrinted>2007-05-03T19:53:00Z</cp:lastPrinted>
  <dcterms:created xsi:type="dcterms:W3CDTF">2013-05-23T15:47:00Z</dcterms:created>
  <dcterms:modified xsi:type="dcterms:W3CDTF">2013-05-24T19:52:00Z</dcterms:modified>
</cp:coreProperties>
</file>