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79" w:rsidRDefault="00091579" w:rsidP="00091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579" w:rsidRDefault="00091579" w:rsidP="000915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812.204  Closure Requirements</w:t>
      </w:r>
      <w:r>
        <w:t xml:space="preserve"> </w:t>
      </w:r>
    </w:p>
    <w:p w:rsidR="00091579" w:rsidRDefault="00091579" w:rsidP="00091579">
      <w:pPr>
        <w:widowControl w:val="0"/>
        <w:autoSpaceDE w:val="0"/>
        <w:autoSpaceDN w:val="0"/>
        <w:adjustRightInd w:val="0"/>
      </w:pPr>
    </w:p>
    <w:p w:rsidR="00091579" w:rsidRDefault="00091579" w:rsidP="00091579">
      <w:pPr>
        <w:widowControl w:val="0"/>
        <w:autoSpaceDE w:val="0"/>
        <w:autoSpaceDN w:val="0"/>
        <w:adjustRightInd w:val="0"/>
      </w:pPr>
      <w:r>
        <w:t xml:space="preserve">The permit application shall contain a description of how the applicant will comply with 35 Ill. Adm. Code 811.205(a) and (b). </w:t>
      </w:r>
    </w:p>
    <w:sectPr w:rsidR="00091579" w:rsidSect="00091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579"/>
    <w:rsid w:val="00091579"/>
    <w:rsid w:val="005C3366"/>
    <w:rsid w:val="00B1518B"/>
    <w:rsid w:val="00CF5CEA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