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FB" w:rsidRDefault="005A4DFB" w:rsidP="005A4D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4DFB" w:rsidRDefault="005A4DFB" w:rsidP="005A4DFB">
      <w:pPr>
        <w:widowControl w:val="0"/>
        <w:autoSpaceDE w:val="0"/>
        <w:autoSpaceDN w:val="0"/>
        <w:adjustRightInd w:val="0"/>
      </w:pPr>
      <w:r>
        <w:t>SOURCE:  Adopted in R88-7 at 14 Ill. Reg. 15807, effective September 18, 1990; amended in R90-26 at 18 Ill. Reg. 12</w:t>
      </w:r>
      <w:r w:rsidR="009171C7">
        <w:t xml:space="preserve">384, effective August 1, 1994. </w:t>
      </w:r>
    </w:p>
    <w:sectPr w:rsidR="005A4DFB" w:rsidSect="005A4D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DFB"/>
    <w:rsid w:val="001F3FD8"/>
    <w:rsid w:val="005A4DFB"/>
    <w:rsid w:val="005C3366"/>
    <w:rsid w:val="009171C7"/>
    <w:rsid w:val="00EC335D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R88-7 at 14 Ill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R88-7 at 14 Ill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