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08" w:rsidRDefault="00017008" w:rsidP="00017008">
      <w:pPr>
        <w:widowControl w:val="0"/>
        <w:autoSpaceDE w:val="0"/>
        <w:autoSpaceDN w:val="0"/>
        <w:adjustRightInd w:val="0"/>
      </w:pPr>
      <w:bookmarkStart w:id="0" w:name="_GoBack"/>
      <w:bookmarkEnd w:id="0"/>
    </w:p>
    <w:p w:rsidR="00017008" w:rsidRDefault="00017008" w:rsidP="00017008">
      <w:pPr>
        <w:widowControl w:val="0"/>
        <w:autoSpaceDE w:val="0"/>
        <w:autoSpaceDN w:val="0"/>
        <w:adjustRightInd w:val="0"/>
      </w:pPr>
      <w:r>
        <w:rPr>
          <w:b/>
          <w:bCs/>
        </w:rPr>
        <w:t>Section 817.201  Scope and Applicability</w:t>
      </w:r>
      <w:r>
        <w:t xml:space="preserve"> </w:t>
      </w:r>
    </w:p>
    <w:p w:rsidR="00017008" w:rsidRDefault="00017008" w:rsidP="00017008">
      <w:pPr>
        <w:widowControl w:val="0"/>
        <w:autoSpaceDE w:val="0"/>
        <w:autoSpaceDN w:val="0"/>
        <w:adjustRightInd w:val="0"/>
      </w:pPr>
    </w:p>
    <w:p w:rsidR="00017008" w:rsidRDefault="00017008" w:rsidP="00017008">
      <w:pPr>
        <w:widowControl w:val="0"/>
        <w:autoSpaceDE w:val="0"/>
        <w:autoSpaceDN w:val="0"/>
        <w:adjustRightInd w:val="0"/>
      </w:pPr>
      <w:r>
        <w:t xml:space="preserve">The standards of this Subpart, along with 35 Ill. Adm. Code 811.101 and 811.102, shall apply to all steel and foundry industry wastes not exempt under Section 817.101 and which meet the MALC limits for beneficially usable wastes provided in Section 817.106. </w:t>
      </w:r>
    </w:p>
    <w:sectPr w:rsidR="00017008" w:rsidSect="000170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008"/>
    <w:rsid w:val="00017008"/>
    <w:rsid w:val="001673D6"/>
    <w:rsid w:val="005B4AA0"/>
    <w:rsid w:val="005C3366"/>
    <w:rsid w:val="00C1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2012-06-21T22:29:00Z</dcterms:created>
  <dcterms:modified xsi:type="dcterms:W3CDTF">2012-06-21T22:30:00Z</dcterms:modified>
</cp:coreProperties>
</file>