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02" w:rsidRDefault="00AD4002" w:rsidP="00AD40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002" w:rsidRDefault="00AD4002" w:rsidP="00AD4002">
      <w:pPr>
        <w:widowControl w:val="0"/>
        <w:autoSpaceDE w:val="0"/>
        <w:autoSpaceDN w:val="0"/>
        <w:adjustRightInd w:val="0"/>
        <w:jc w:val="center"/>
      </w:pPr>
      <w:r>
        <w:t>SUBPART D:  NEW STEEL AND FOUNDRY INDUSTRY LOW RISK WASTE</w:t>
      </w:r>
    </w:p>
    <w:p w:rsidR="00AD4002" w:rsidRDefault="00AD4002" w:rsidP="00AD4002">
      <w:pPr>
        <w:widowControl w:val="0"/>
        <w:autoSpaceDE w:val="0"/>
        <w:autoSpaceDN w:val="0"/>
        <w:adjustRightInd w:val="0"/>
        <w:jc w:val="center"/>
      </w:pPr>
      <w:r>
        <w:t>LANDFILLS</w:t>
      </w:r>
    </w:p>
    <w:sectPr w:rsidR="00AD4002" w:rsidSect="00AD40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002"/>
    <w:rsid w:val="0003042D"/>
    <w:rsid w:val="001B1183"/>
    <w:rsid w:val="005C3366"/>
    <w:rsid w:val="00AD4002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NEW STEEL AND FOUNDRY INDUSTRY LOW RISK WASTE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NEW STEEL AND FOUNDRY INDUSTRY LOW RISK WASTE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