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27" w:rsidRDefault="00F27427" w:rsidP="00F27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427" w:rsidRDefault="00F27427" w:rsidP="00F27427">
      <w:pPr>
        <w:widowControl w:val="0"/>
        <w:autoSpaceDE w:val="0"/>
        <w:autoSpaceDN w:val="0"/>
        <w:adjustRightInd w:val="0"/>
      </w:pPr>
      <w:r>
        <w:t>SOURCE:  Emergency rules adopted at 9 Ill. Reg. 399, effective January 1, 1985, for a maximum of 150 days;  emergency expired May 30, 1985; adopted at 9 Ill. Reg. 10754, effective July 1, 1985; amended at 13 Ill. Reg. 13</w:t>
      </w:r>
      <w:r w:rsidR="00937C35">
        <w:t xml:space="preserve">212, effective August 7, 1989. </w:t>
      </w:r>
    </w:p>
    <w:sectPr w:rsidR="00F27427" w:rsidSect="00F27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427"/>
    <w:rsid w:val="003D1C43"/>
    <w:rsid w:val="005C3366"/>
    <w:rsid w:val="00667911"/>
    <w:rsid w:val="00937C35"/>
    <w:rsid w:val="00E30BA4"/>
    <w:rsid w:val="00F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