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D2" w:rsidRDefault="00BE4AD2" w:rsidP="00BE4A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4AD2" w:rsidRDefault="00BE4AD2" w:rsidP="00BE4AD2">
      <w:pPr>
        <w:widowControl w:val="0"/>
        <w:autoSpaceDE w:val="0"/>
        <w:autoSpaceDN w:val="0"/>
        <w:adjustRightInd w:val="0"/>
        <w:jc w:val="center"/>
      </w:pPr>
      <w:r>
        <w:t>SUBPART D:  REQUIREMENTS APPLICABLE TO INITIATION AND AMENDMENT</w:t>
      </w:r>
    </w:p>
    <w:sectPr w:rsidR="00BE4AD2" w:rsidSect="00BE4A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4AD2"/>
    <w:rsid w:val="00017CFC"/>
    <w:rsid w:val="005C3366"/>
    <w:rsid w:val="00881546"/>
    <w:rsid w:val="00BE4AD2"/>
    <w:rsid w:val="00F9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REQUIREMENTS APPLICABLE TO INITIATION AND AMENDMENT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REQUIREMENTS APPLICABLE TO INITIATION AND AMENDMENT</dc:title>
  <dc:subject/>
  <dc:creator>Illinois General Assembly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