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FC" w:rsidRDefault="00B653FC" w:rsidP="00B653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53FC" w:rsidRDefault="00B653FC" w:rsidP="00B653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885.330  Statutory Requirements</w:t>
      </w:r>
      <w:r>
        <w:t xml:space="preserve"> </w:t>
      </w:r>
    </w:p>
    <w:p w:rsidR="00B653FC" w:rsidRDefault="00B653FC" w:rsidP="00B653FC">
      <w:pPr>
        <w:widowControl w:val="0"/>
        <w:autoSpaceDE w:val="0"/>
        <w:autoSpaceDN w:val="0"/>
        <w:adjustRightInd w:val="0"/>
      </w:pPr>
    </w:p>
    <w:p w:rsidR="00B653FC" w:rsidRDefault="00B653FC" w:rsidP="00B653FC">
      <w:pPr>
        <w:widowControl w:val="0"/>
        <w:autoSpaceDE w:val="0"/>
        <w:autoSpaceDN w:val="0"/>
        <w:adjustRightInd w:val="0"/>
      </w:pPr>
      <w:r>
        <w:t xml:space="preserve">The grantee is solely responsible for assuring compliance with all statutory requirements, including, but not limited to, the Local Government Professional Services Selection Act [50 ILCS 510] and the Construction Contract Indemnification for Negligence Act [740 ILCS 35]. </w:t>
      </w:r>
    </w:p>
    <w:sectPr w:rsidR="00B653FC" w:rsidSect="00B653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3FC"/>
    <w:rsid w:val="001144FB"/>
    <w:rsid w:val="005C3366"/>
    <w:rsid w:val="006362B7"/>
    <w:rsid w:val="00B37643"/>
    <w:rsid w:val="00B6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General Assembly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