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D9" w:rsidRDefault="002937D9" w:rsidP="002937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7D9" w:rsidRDefault="002937D9" w:rsidP="002937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886.505  Limitations on Loan Amounts</w:t>
      </w:r>
      <w:r>
        <w:t xml:space="preserve"> </w:t>
      </w:r>
    </w:p>
    <w:p w:rsidR="002937D9" w:rsidRDefault="002937D9" w:rsidP="002937D9">
      <w:pPr>
        <w:widowControl w:val="0"/>
        <w:autoSpaceDE w:val="0"/>
        <w:autoSpaceDN w:val="0"/>
        <w:adjustRightInd w:val="0"/>
      </w:pPr>
    </w:p>
    <w:p w:rsidR="002937D9" w:rsidRDefault="002937D9" w:rsidP="002937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loan amount for site investigation activities shall not exceed $120,000 per site. </w:t>
      </w:r>
    </w:p>
    <w:p w:rsidR="00532874" w:rsidRDefault="00532874" w:rsidP="002937D9">
      <w:pPr>
        <w:widowControl w:val="0"/>
        <w:autoSpaceDE w:val="0"/>
        <w:autoSpaceDN w:val="0"/>
        <w:adjustRightInd w:val="0"/>
        <w:ind w:left="1440" w:hanging="720"/>
      </w:pPr>
    </w:p>
    <w:p w:rsidR="002937D9" w:rsidRDefault="002937D9" w:rsidP="002937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maximum loan amount for any single application submitted pursuant to Section 886.215  (Applications for Brownfields Redevelopment Loans) of this Part shall be limited to $500,000. </w:t>
      </w:r>
    </w:p>
    <w:p w:rsidR="00532874" w:rsidRDefault="00532874" w:rsidP="002937D9">
      <w:pPr>
        <w:widowControl w:val="0"/>
        <w:autoSpaceDE w:val="0"/>
        <w:autoSpaceDN w:val="0"/>
        <w:adjustRightInd w:val="0"/>
        <w:ind w:left="1440" w:hanging="720"/>
      </w:pPr>
    </w:p>
    <w:p w:rsidR="002937D9" w:rsidRDefault="002937D9" w:rsidP="002937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maximum loan amount for any single project shall be $1,000,000.</w:t>
      </w:r>
      <w:r>
        <w:t xml:space="preserve"> (Section 58.15(b)(3) of the Act) </w:t>
      </w:r>
    </w:p>
    <w:sectPr w:rsidR="002937D9" w:rsidSect="00293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7D9"/>
    <w:rsid w:val="002937D9"/>
    <w:rsid w:val="00532874"/>
    <w:rsid w:val="005C3366"/>
    <w:rsid w:val="0067683D"/>
    <w:rsid w:val="00800CF2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