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4D" w:rsidRDefault="00D9184D" w:rsidP="00D918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84D" w:rsidRDefault="00D9184D" w:rsidP="00D9184D">
      <w:pPr>
        <w:widowControl w:val="0"/>
        <w:autoSpaceDE w:val="0"/>
        <w:autoSpaceDN w:val="0"/>
        <w:adjustRightInd w:val="0"/>
        <w:jc w:val="center"/>
      </w:pPr>
      <w:r>
        <w:t>SUBPART A:  EQUIPMENT STANDARDS</w:t>
      </w:r>
    </w:p>
    <w:p w:rsidR="00D9184D" w:rsidRDefault="00D9184D" w:rsidP="00D9184D">
      <w:pPr>
        <w:widowControl w:val="0"/>
        <w:autoSpaceDE w:val="0"/>
        <w:autoSpaceDN w:val="0"/>
        <w:adjustRightInd w:val="0"/>
        <w:jc w:val="center"/>
      </w:pPr>
      <w:r>
        <w:t>APPLICABLE TO ALL MOTOR VEHICLES</w:t>
      </w:r>
    </w:p>
    <w:sectPr w:rsidR="00D9184D" w:rsidSect="00D91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84D"/>
    <w:rsid w:val="002B028C"/>
    <w:rsid w:val="002F4C64"/>
    <w:rsid w:val="005C3366"/>
    <w:rsid w:val="00881B23"/>
    <w:rsid w:val="00D9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EQUIPMENT STANDARDS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EQUIPMENT STANDARDS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