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2B" w:rsidRDefault="00BD7C2B" w:rsidP="00BD7C2B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1421.131  Standards and Criteria</w:t>
      </w:r>
      <w:r>
        <w:t xml:space="preserve"> </w:t>
      </w:r>
    </w:p>
    <w:p w:rsidR="00BD7C2B" w:rsidRDefault="00BD7C2B" w:rsidP="00BD7C2B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exterior of the outer package must be marked as follows </w:t>
      </w:r>
      <w:r w:rsidR="001A2E2F">
        <w:t>before</w:t>
      </w:r>
      <w:r>
        <w:t xml:space="preserve"> shipment: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generator </w:t>
      </w:r>
      <w:r w:rsidR="001A2E2F">
        <w:t>must</w:t>
      </w:r>
      <w:r>
        <w:t xml:space="preserve">: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Mark on two opposite sides of the outer package in lettering that is readable at a minimum distance of five feet: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The International Biohazard Symbol</w:t>
      </w:r>
      <w:r w:rsidR="00A1079E">
        <w:t>,</w:t>
      </w:r>
      <w:r>
        <w:t xml:space="preserve"> as shown in</w:t>
      </w:r>
      <w:r w:rsidR="007B0604">
        <w:t xml:space="preserve"> </w:t>
      </w:r>
      <w:r>
        <w:t>Illustration A</w:t>
      </w:r>
      <w:r w:rsidR="00A1079E">
        <w:t>,</w:t>
      </w:r>
      <w:r>
        <w:t xml:space="preserve"> and the word "Biohazard"; and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The word "</w:t>
      </w:r>
      <w:r w:rsidR="001A2E2F">
        <w:t>Sharps</w:t>
      </w:r>
      <w:r>
        <w:t xml:space="preserve">", if the package contains sharps.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Mark with indelible ink in lettering that is legible on a water-resistant label or tag securely attached to or marked on the outer package: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The generator's name</w:t>
      </w:r>
      <w:r w:rsidR="001A2E2F">
        <w:t>;</w:t>
      </w:r>
      <w:r>
        <w:t xml:space="preserve">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The generator's address</w:t>
      </w:r>
      <w:r w:rsidR="001A2E2F">
        <w:t>;</w:t>
      </w:r>
      <w:r>
        <w:t xml:space="preserve"> and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The generator's phone number (a 24-hour phone number, if available).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transporter </w:t>
      </w:r>
      <w:r w:rsidR="001A2E2F">
        <w:t>must</w:t>
      </w:r>
      <w:r>
        <w:t xml:space="preserve"> mark with indelible ink in lettering that is legible on a water-resistant label or tag securely attached to or marked on the outer package: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transporter's name</w:t>
      </w:r>
      <w:r w:rsidR="001A2E2F">
        <w:t>;</w:t>
      </w:r>
      <w:r>
        <w:t xml:space="preserve">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transporter's permit number</w:t>
      </w:r>
      <w:r w:rsidR="001A2E2F">
        <w:t>;</w:t>
      </w:r>
      <w:r>
        <w:t xml:space="preserve">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The transporter's address</w:t>
      </w:r>
      <w:r w:rsidR="001A2E2F">
        <w:t>;</w:t>
      </w:r>
      <w:r>
        <w:t xml:space="preserve">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The transporter's phone number (a 24-hour phone number, if available)</w:t>
      </w:r>
      <w:r w:rsidR="001A2E2F">
        <w:t>;</w:t>
      </w:r>
      <w:r>
        <w:t xml:space="preserve"> and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For each </w:t>
      </w:r>
      <w:proofErr w:type="spellStart"/>
      <w:r>
        <w:t>PIMW</w:t>
      </w:r>
      <w:proofErr w:type="spellEnd"/>
      <w:r>
        <w:t xml:space="preserve"> package, the shipment date when </w:t>
      </w:r>
      <w:proofErr w:type="spellStart"/>
      <w:r>
        <w:t>PIMW</w:t>
      </w:r>
      <w:proofErr w:type="spellEnd"/>
      <w:r>
        <w:t xml:space="preserve"> initially left the generator's site; or for each shipment, a unique identification number </w:t>
      </w:r>
      <w:r w:rsidR="001A2E2F">
        <w:t>that</w:t>
      </w:r>
      <w:r>
        <w:t xml:space="preserve"> directly corresponds to the initial date of shipment.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Except for subsection (c), inner packages must be marked as described in subsection (a)(1)(A)(</w:t>
      </w:r>
      <w:proofErr w:type="spellStart"/>
      <w:r>
        <w:t>i</w:t>
      </w:r>
      <w:proofErr w:type="spellEnd"/>
      <w:r>
        <w:t xml:space="preserve">).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sharps container is packaged within an outer container, the inner sharps container must be marked with indelible ink in lettering that is legible as follows: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International Biohazard Symbol</w:t>
      </w:r>
      <w:r w:rsidR="00A1079E">
        <w:t>,</w:t>
      </w:r>
      <w:r>
        <w:t xml:space="preserve"> as shown in Illustration A</w:t>
      </w:r>
      <w:r w:rsidR="00A1079E">
        <w:t>,</w:t>
      </w:r>
      <w:r>
        <w:t xml:space="preserve"> and the word "</w:t>
      </w:r>
      <w:r w:rsidR="001A2E2F">
        <w:t>Biohazard</w:t>
      </w:r>
      <w:r>
        <w:t xml:space="preserve">"; and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word "</w:t>
      </w:r>
      <w:r w:rsidR="001A2E2F">
        <w:t>Sharp</w:t>
      </w:r>
      <w:r w:rsidR="00A1079E">
        <w:t>s</w:t>
      </w:r>
      <w:r>
        <w:t xml:space="preserve">".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Containers </w:t>
      </w:r>
      <w:r w:rsidR="00A1079E">
        <w:t>that</w:t>
      </w:r>
      <w:r>
        <w:t xml:space="preserve"> are not the inner or outer containers are exempt from subsection (a).  Packages may be placed in a transparent container </w:t>
      </w:r>
      <w:r w:rsidR="001A2E2F">
        <w:t>if</w:t>
      </w:r>
      <w:r>
        <w:t xml:space="preserve"> all required markings are legible through the transparent container. A non-rigid transparent container cannot be used as an outer container.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For oversized </w:t>
      </w:r>
      <w:proofErr w:type="spellStart"/>
      <w:r>
        <w:t>PIMW</w:t>
      </w:r>
      <w:proofErr w:type="spellEnd"/>
      <w:r>
        <w:t xml:space="preserve">, the following requirements must be met </w:t>
      </w:r>
      <w:r w:rsidR="001F0975">
        <w:t>before</w:t>
      </w:r>
      <w:r>
        <w:t xml:space="preserve"> shipment: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generator </w:t>
      </w:r>
      <w:r w:rsidR="001A2E2F">
        <w:t>must</w:t>
      </w:r>
      <w:r>
        <w:t xml:space="preserve">: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Mark on one side of the outer package in lettering that is readable at a minimum distance of five feet the International Biohazard Symbol</w:t>
      </w:r>
      <w:r w:rsidR="00A1079E">
        <w:t>,</w:t>
      </w:r>
      <w:r>
        <w:t xml:space="preserve"> as shown in Illustration A</w:t>
      </w:r>
      <w:r w:rsidR="00A1079E">
        <w:t>,</w:t>
      </w:r>
      <w:r>
        <w:t xml:space="preserve"> and the word "</w:t>
      </w:r>
      <w:r w:rsidR="001A2E2F">
        <w:t>Biohazard</w:t>
      </w:r>
      <w:r>
        <w:t xml:space="preserve">".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Mark with indelible ink in lettering that is legible on a water-resistant label or tag securely attached to or marked on the outer package: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The generator's name</w:t>
      </w:r>
      <w:r w:rsidR="001F0975">
        <w:t>;</w:t>
      </w:r>
      <w:r>
        <w:t xml:space="preserve">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The generator's address</w:t>
      </w:r>
      <w:r w:rsidR="001F0975">
        <w:t>;</w:t>
      </w:r>
      <w:r>
        <w:t xml:space="preserve"> and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The generator's phone number (a 24-hour phone number, if available).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transporter </w:t>
      </w:r>
      <w:r w:rsidR="001A2E2F">
        <w:t>must</w:t>
      </w:r>
      <w:r>
        <w:t xml:space="preserve"> mark with indelible ink in lettering that is legible on a water-resistant label or tag securely attached to or marked on the outer package: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transporter's name</w:t>
      </w:r>
      <w:r w:rsidR="001A2E2F">
        <w:t>;</w:t>
      </w:r>
      <w:r>
        <w:t xml:space="preserve">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transporter's permit number</w:t>
      </w:r>
      <w:r w:rsidR="001A2E2F">
        <w:t>;</w:t>
      </w:r>
      <w:r>
        <w:t xml:space="preserve">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The transporter's address</w:t>
      </w:r>
      <w:r w:rsidR="001A2E2F">
        <w:t>;</w:t>
      </w:r>
      <w:r>
        <w:t xml:space="preserve">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The transporter's phone number (a 24-hour phone number, if available)</w:t>
      </w:r>
      <w:r w:rsidR="001F0975">
        <w:t>;</w:t>
      </w:r>
      <w:r>
        <w:t xml:space="preserve"> and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E)</w:t>
      </w:r>
      <w:r>
        <w:tab/>
        <w:t xml:space="preserve">For each </w:t>
      </w:r>
      <w:proofErr w:type="spellStart"/>
      <w:r>
        <w:t>PIMW</w:t>
      </w:r>
      <w:proofErr w:type="spellEnd"/>
      <w:r>
        <w:t xml:space="preserve"> package, the shipment date when </w:t>
      </w:r>
      <w:proofErr w:type="spellStart"/>
      <w:r>
        <w:t>PIMW</w:t>
      </w:r>
      <w:proofErr w:type="spellEnd"/>
      <w:r>
        <w:t xml:space="preserve"> initially left the generator's site; or for each shipment, a unique identification number which directly corresponds to the initial date of shipment. </w:t>
      </w:r>
    </w:p>
    <w:p w:rsidR="00FB6710" w:rsidRDefault="00FB6710" w:rsidP="00C633D6">
      <w:pPr>
        <w:widowControl w:val="0"/>
        <w:autoSpaceDE w:val="0"/>
        <w:autoSpaceDN w:val="0"/>
        <w:adjustRightInd w:val="0"/>
      </w:pPr>
    </w:p>
    <w:p w:rsidR="00BD7C2B" w:rsidRDefault="00BD7C2B" w:rsidP="00BD7C2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When </w:t>
      </w:r>
      <w:proofErr w:type="spellStart"/>
      <w:r>
        <w:t>PIMW</w:t>
      </w:r>
      <w:proofErr w:type="spellEnd"/>
      <w:r>
        <w:t xml:space="preserve"> is transported by more than one transporter, each transporter </w:t>
      </w:r>
      <w:r w:rsidR="001F0975">
        <w:t>must</w:t>
      </w:r>
      <w:r>
        <w:t xml:space="preserve"> mark with indelible ink in lettering that is legible on a water-resistant label or tag securely attached to or marked on the outer package the information listed in subsection (a)(2).  The label, tag</w:t>
      </w:r>
      <w:r w:rsidR="00A1079E">
        <w:t>,</w:t>
      </w:r>
      <w:r>
        <w:t xml:space="preserve"> or mark must not obscure any previous information on the package. </w:t>
      </w:r>
    </w:p>
    <w:p w:rsidR="001F0975" w:rsidRDefault="001F0975" w:rsidP="00C633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0975" w:rsidRDefault="001F0975" w:rsidP="00BD7C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930D39">
        <w:t>10061</w:t>
      </w:r>
      <w:r>
        <w:t xml:space="preserve">, effective </w:t>
      </w:r>
      <w:r w:rsidR="00930D39">
        <w:t>August 30, 2019</w:t>
      </w:r>
      <w:r>
        <w:t>)</w:t>
      </w:r>
    </w:p>
    <w:sectPr w:rsidR="001F0975" w:rsidSect="00BD7C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C2B"/>
    <w:rsid w:val="001A2E2F"/>
    <w:rsid w:val="001C4CEF"/>
    <w:rsid w:val="001F0975"/>
    <w:rsid w:val="00271928"/>
    <w:rsid w:val="005C3366"/>
    <w:rsid w:val="007B0604"/>
    <w:rsid w:val="00864222"/>
    <w:rsid w:val="00930D39"/>
    <w:rsid w:val="00A1079E"/>
    <w:rsid w:val="00BD7C2B"/>
    <w:rsid w:val="00C633D6"/>
    <w:rsid w:val="00E13E1E"/>
    <w:rsid w:val="00F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0C5AB8-C0DE-4CB2-AAFC-3B3E0095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1421</vt:lpstr>
    </vt:vector>
  </TitlesOfParts>
  <Company>State of Illinois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1421</dc:title>
  <dc:subject/>
  <dc:creator>Illinois General Assembly</dc:creator>
  <cp:keywords/>
  <dc:description/>
  <cp:lastModifiedBy>Shipley, Melissa A.</cp:lastModifiedBy>
  <cp:revision>4</cp:revision>
  <dcterms:created xsi:type="dcterms:W3CDTF">2019-09-03T15:19:00Z</dcterms:created>
  <dcterms:modified xsi:type="dcterms:W3CDTF">2019-09-10T17:15:00Z</dcterms:modified>
</cp:coreProperties>
</file>