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FE" w:rsidRDefault="00C121FE" w:rsidP="00C12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1FE" w:rsidRDefault="00C121FE" w:rsidP="00C121FE">
      <w:pPr>
        <w:widowControl w:val="0"/>
        <w:autoSpaceDE w:val="0"/>
        <w:autoSpaceDN w:val="0"/>
        <w:adjustRightInd w:val="0"/>
      </w:pPr>
      <w:r>
        <w:t xml:space="preserve">AUTHORITY:  Implementing and authorized by the Illinois Credit Union Act [205 ILCS 305]. </w:t>
      </w:r>
    </w:p>
    <w:sectPr w:rsidR="00C121FE" w:rsidSect="00B21E8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A27"/>
    <w:rsid w:val="001A20DA"/>
    <w:rsid w:val="002140D4"/>
    <w:rsid w:val="005C4A27"/>
    <w:rsid w:val="00721DF7"/>
    <w:rsid w:val="00B21E82"/>
    <w:rsid w:val="00C121FE"/>
    <w:rsid w:val="00CF6F64"/>
    <w:rsid w:val="00D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1F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1F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Credit Union Act [205 ILCS 305]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Credit Union Act [205 ILCS 305]</dc:title>
  <dc:subject/>
  <dc:creator>MessingerRR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