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5C" w:rsidRDefault="003A795C" w:rsidP="001D19FA">
      <w:pPr>
        <w:rPr>
          <w:rFonts w:cs="Arial"/>
          <w:b/>
          <w:bCs/>
          <w:sz w:val="24"/>
          <w:szCs w:val="24"/>
        </w:rPr>
      </w:pPr>
    </w:p>
    <w:p w:rsidR="003A795C" w:rsidRPr="000A367A" w:rsidRDefault="003A795C" w:rsidP="001D19FA">
      <w:pPr>
        <w:rPr>
          <w:rFonts w:cs="Arial"/>
          <w:b/>
          <w:bCs/>
          <w:sz w:val="24"/>
          <w:szCs w:val="24"/>
        </w:rPr>
      </w:pPr>
      <w:r w:rsidRPr="000A367A">
        <w:rPr>
          <w:rFonts w:cs="Arial"/>
          <w:b/>
          <w:bCs/>
          <w:sz w:val="24"/>
          <w:szCs w:val="24"/>
        </w:rPr>
        <w:t xml:space="preserve">Section 330.230 </w:t>
      </w:r>
      <w:r w:rsidR="001D19FA">
        <w:rPr>
          <w:rFonts w:cs="Arial"/>
          <w:b/>
          <w:bCs/>
          <w:sz w:val="24"/>
          <w:szCs w:val="24"/>
        </w:rPr>
        <w:t xml:space="preserve"> </w:t>
      </w:r>
      <w:r w:rsidRPr="000A367A">
        <w:rPr>
          <w:rFonts w:cs="Arial"/>
          <w:b/>
          <w:bCs/>
          <w:sz w:val="24"/>
          <w:szCs w:val="24"/>
        </w:rPr>
        <w:t>Credit Exposure Arising from Derivative Transactions</w:t>
      </w:r>
    </w:p>
    <w:p w:rsidR="003A795C" w:rsidRPr="000A367A" w:rsidRDefault="003A795C" w:rsidP="001D19FA">
      <w:pPr>
        <w:rPr>
          <w:rFonts w:cs="Arial"/>
          <w:b/>
          <w:bCs/>
          <w:sz w:val="24"/>
          <w:szCs w:val="24"/>
        </w:rPr>
      </w:pPr>
    </w:p>
    <w:p w:rsidR="003A795C" w:rsidRPr="000A367A" w:rsidRDefault="003A795C" w:rsidP="001D19FA">
      <w:pPr>
        <w:pStyle w:val="ListParagraph"/>
        <w:spacing w:after="0" w:line="240" w:lineRule="auto"/>
        <w:ind w:left="1440" w:hanging="720"/>
        <w:outlineLvl w:val="4"/>
        <w:rPr>
          <w:rFonts w:ascii="Times New Roman" w:hAnsi="Times New Roman"/>
          <w:bCs/>
          <w:sz w:val="24"/>
          <w:szCs w:val="24"/>
        </w:rPr>
      </w:pPr>
      <w:r w:rsidRPr="000A367A">
        <w:rPr>
          <w:rFonts w:ascii="Times New Roman" w:hAnsi="Times New Roman"/>
          <w:bCs/>
          <w:sz w:val="24"/>
          <w:szCs w:val="24"/>
        </w:rPr>
        <w:t>a)</w:t>
      </w:r>
      <w:r>
        <w:rPr>
          <w:rFonts w:ascii="Times New Roman" w:hAnsi="Times New Roman"/>
          <w:bCs/>
          <w:sz w:val="24"/>
          <w:szCs w:val="24"/>
        </w:rPr>
        <w:tab/>
      </w:r>
      <w:r w:rsidRPr="000A367A">
        <w:rPr>
          <w:rFonts w:ascii="Times New Roman" w:hAnsi="Times New Roman"/>
          <w:bCs/>
          <w:sz w:val="24"/>
          <w:szCs w:val="24"/>
        </w:rPr>
        <w:t>Scope. This Section sets forth the standards for calculating the credit exposure arising from a derivative transaction entered into by a state bank for purposes of determining the bank</w:t>
      </w:r>
      <w:r w:rsidR="001D19FA">
        <w:rPr>
          <w:rFonts w:ascii="Times New Roman" w:hAnsi="Times New Roman"/>
          <w:bCs/>
          <w:sz w:val="24"/>
          <w:szCs w:val="24"/>
        </w:rPr>
        <w:t>'</w:t>
      </w:r>
      <w:r w:rsidRPr="000A367A">
        <w:rPr>
          <w:rFonts w:ascii="Times New Roman" w:hAnsi="Times New Roman"/>
          <w:bCs/>
          <w:sz w:val="24"/>
          <w:szCs w:val="24"/>
        </w:rPr>
        <w:t>s lending limit pursuant to Section 32 of the Act, Section 6013 of the Savings Bank Act or, as applicable, this Part.</w:t>
      </w:r>
      <w:r w:rsidRPr="000A367A">
        <w:rPr>
          <w:rStyle w:val="e-03"/>
          <w:rFonts w:ascii="Times New Roman" w:hAnsi="Times New Roman"/>
          <w:bCs/>
          <w:color w:val="FF0000"/>
          <w:sz w:val="24"/>
          <w:szCs w:val="24"/>
        </w:rPr>
        <w:t xml:space="preserve"> </w:t>
      </w:r>
    </w:p>
    <w:p w:rsidR="003A795C" w:rsidRPr="000A367A" w:rsidRDefault="003A795C" w:rsidP="001D19FA">
      <w:pPr>
        <w:pStyle w:val="ListParagraph"/>
        <w:spacing w:after="0" w:line="240" w:lineRule="auto"/>
        <w:outlineLvl w:val="4"/>
        <w:rPr>
          <w:rFonts w:ascii="Times New Roman" w:hAnsi="Times New Roman"/>
          <w:bCs/>
          <w:sz w:val="24"/>
          <w:szCs w:val="24"/>
        </w:rPr>
      </w:pPr>
    </w:p>
    <w:p w:rsidR="003A795C" w:rsidRPr="000A367A" w:rsidRDefault="003A795C" w:rsidP="001D19FA">
      <w:pPr>
        <w:pStyle w:val="ListParagraph"/>
        <w:spacing w:after="0" w:line="240" w:lineRule="auto"/>
        <w:outlineLvl w:val="4"/>
        <w:rPr>
          <w:rFonts w:ascii="Times New Roman" w:hAnsi="Times New Roman"/>
          <w:bCs/>
          <w:iCs/>
          <w:sz w:val="24"/>
          <w:szCs w:val="24"/>
        </w:rPr>
      </w:pPr>
      <w:r w:rsidRPr="000A367A">
        <w:rPr>
          <w:rFonts w:ascii="Times New Roman" w:hAnsi="Times New Roman"/>
          <w:bCs/>
          <w:iCs/>
          <w:sz w:val="24"/>
          <w:szCs w:val="24"/>
        </w:rPr>
        <w:t>b)</w:t>
      </w:r>
      <w:r>
        <w:rPr>
          <w:rFonts w:ascii="Times New Roman" w:hAnsi="Times New Roman"/>
          <w:bCs/>
          <w:iCs/>
          <w:sz w:val="24"/>
          <w:szCs w:val="24"/>
        </w:rPr>
        <w:tab/>
      </w:r>
      <w:r w:rsidRPr="000A367A">
        <w:rPr>
          <w:rFonts w:ascii="Times New Roman" w:hAnsi="Times New Roman"/>
          <w:bCs/>
          <w:iCs/>
          <w:sz w:val="24"/>
          <w:szCs w:val="24"/>
        </w:rPr>
        <w:t xml:space="preserve">Derivative </w:t>
      </w:r>
      <w:r w:rsidR="001D19FA">
        <w:rPr>
          <w:rFonts w:ascii="Times New Roman" w:hAnsi="Times New Roman"/>
          <w:bCs/>
          <w:iCs/>
          <w:sz w:val="24"/>
          <w:szCs w:val="24"/>
        </w:rPr>
        <w:t>T</w:t>
      </w:r>
      <w:r w:rsidRPr="000A367A">
        <w:rPr>
          <w:rFonts w:ascii="Times New Roman" w:hAnsi="Times New Roman"/>
          <w:bCs/>
          <w:iCs/>
          <w:sz w:val="24"/>
          <w:szCs w:val="24"/>
        </w:rPr>
        <w:t>ransactions</w:t>
      </w:r>
    </w:p>
    <w:p w:rsidR="003A795C" w:rsidRPr="000A367A" w:rsidRDefault="003A795C" w:rsidP="001D19FA">
      <w:pPr>
        <w:pStyle w:val="ListParagraph"/>
        <w:spacing w:after="0" w:line="240" w:lineRule="auto"/>
        <w:ind w:left="1440"/>
        <w:outlineLvl w:val="4"/>
        <w:rPr>
          <w:rFonts w:ascii="Times New Roman" w:hAnsi="Times New Roman"/>
          <w:bCs/>
          <w:sz w:val="24"/>
          <w:szCs w:val="24"/>
        </w:rPr>
      </w:pPr>
    </w:p>
    <w:p w:rsidR="003A795C" w:rsidRPr="003A795C" w:rsidRDefault="003A795C" w:rsidP="001D19FA">
      <w:pPr>
        <w:ind w:left="1441"/>
        <w:outlineLvl w:val="4"/>
        <w:rPr>
          <w:bCs/>
          <w:sz w:val="24"/>
          <w:szCs w:val="24"/>
        </w:rPr>
      </w:pPr>
      <w:r>
        <w:rPr>
          <w:bCs/>
          <w:sz w:val="24"/>
          <w:szCs w:val="24"/>
        </w:rPr>
        <w:t>1)</w:t>
      </w:r>
      <w:r>
        <w:rPr>
          <w:bCs/>
          <w:sz w:val="24"/>
          <w:szCs w:val="24"/>
        </w:rPr>
        <w:tab/>
      </w:r>
      <w:r w:rsidRPr="003A795C">
        <w:rPr>
          <w:bCs/>
          <w:sz w:val="24"/>
          <w:szCs w:val="24"/>
        </w:rPr>
        <w:t xml:space="preserve">Non-Credit Derivatives </w:t>
      </w:r>
    </w:p>
    <w:p w:rsidR="003A795C" w:rsidRPr="000A367A" w:rsidRDefault="003A795C" w:rsidP="001D19FA">
      <w:pPr>
        <w:pStyle w:val="ListParagraph"/>
        <w:spacing w:after="0" w:line="240" w:lineRule="auto"/>
        <w:ind w:left="2160"/>
        <w:outlineLvl w:val="4"/>
        <w:rPr>
          <w:rFonts w:ascii="Times New Roman" w:hAnsi="Times New Roman"/>
          <w:bCs/>
          <w:sz w:val="24"/>
          <w:szCs w:val="24"/>
        </w:rPr>
      </w:pPr>
      <w:r w:rsidRPr="000A367A">
        <w:rPr>
          <w:rFonts w:ascii="Times New Roman" w:hAnsi="Times New Roman"/>
          <w:bCs/>
          <w:sz w:val="24"/>
          <w:szCs w:val="24"/>
        </w:rPr>
        <w:t>Subject to subsection</w:t>
      </w:r>
      <w:r w:rsidR="001D19FA">
        <w:rPr>
          <w:rFonts w:ascii="Times New Roman" w:hAnsi="Times New Roman"/>
          <w:bCs/>
          <w:sz w:val="24"/>
          <w:szCs w:val="24"/>
        </w:rPr>
        <w:t>s</w:t>
      </w:r>
      <w:r w:rsidRPr="000A367A">
        <w:rPr>
          <w:rFonts w:ascii="Times New Roman" w:hAnsi="Times New Roman"/>
          <w:bCs/>
          <w:sz w:val="24"/>
          <w:szCs w:val="24"/>
        </w:rPr>
        <w:t xml:space="preserve"> (b)(2) and (b)(3), a state bank shall calculate the non-credit derivative exposure </w:t>
      </w:r>
      <w:r w:rsidR="004814B9">
        <w:rPr>
          <w:rFonts w:ascii="Times New Roman" w:hAnsi="Times New Roman"/>
          <w:bCs/>
          <w:sz w:val="24"/>
          <w:szCs w:val="24"/>
        </w:rPr>
        <w:t xml:space="preserve">(e.g., a contract regarding performance at a point in time unrelated to specific credit risk, such as, but not limited to, interest rates or future delivery, such as forwards, futures, options, caps or floors) </w:t>
      </w:r>
      <w:r w:rsidRPr="000A367A">
        <w:rPr>
          <w:rFonts w:ascii="Times New Roman" w:hAnsi="Times New Roman"/>
          <w:bCs/>
          <w:sz w:val="24"/>
          <w:szCs w:val="24"/>
        </w:rPr>
        <w:t>to a counterparty arising from a derivative transaction by one of the methods</w:t>
      </w:r>
      <w:r w:rsidR="001D19FA">
        <w:rPr>
          <w:rFonts w:ascii="Times New Roman" w:hAnsi="Times New Roman"/>
          <w:bCs/>
          <w:sz w:val="24"/>
          <w:szCs w:val="24"/>
        </w:rPr>
        <w:t xml:space="preserve"> described in this subsection (b)(1)</w:t>
      </w:r>
      <w:r w:rsidRPr="000A367A">
        <w:rPr>
          <w:rFonts w:ascii="Times New Roman" w:hAnsi="Times New Roman"/>
          <w:bCs/>
          <w:sz w:val="24"/>
          <w:szCs w:val="24"/>
        </w:rPr>
        <w:t>. Subject to subsection (b)(3), a state bank shall use the same method for calculating counterparty credit exposure arising from all of its derivative transactions.</w:t>
      </w:r>
    </w:p>
    <w:p w:rsidR="003A795C" w:rsidRPr="000A367A" w:rsidRDefault="003A795C" w:rsidP="001D19FA">
      <w:pPr>
        <w:pStyle w:val="ListParagraph"/>
        <w:spacing w:after="0" w:line="240" w:lineRule="auto"/>
        <w:ind w:left="1800"/>
        <w:outlineLvl w:val="4"/>
        <w:rPr>
          <w:rFonts w:ascii="Times New Roman" w:hAnsi="Times New Roman"/>
          <w:bCs/>
          <w:iCs/>
          <w:sz w:val="24"/>
          <w:szCs w:val="24"/>
        </w:rPr>
      </w:pPr>
    </w:p>
    <w:p w:rsidR="003A795C" w:rsidRPr="003A795C" w:rsidRDefault="003A795C" w:rsidP="001D19FA">
      <w:pPr>
        <w:ind w:left="2160"/>
        <w:outlineLvl w:val="4"/>
        <w:rPr>
          <w:bCs/>
          <w:sz w:val="24"/>
          <w:szCs w:val="24"/>
        </w:rPr>
      </w:pPr>
      <w:r>
        <w:rPr>
          <w:bCs/>
          <w:iCs/>
          <w:sz w:val="24"/>
          <w:szCs w:val="24"/>
        </w:rPr>
        <w:tab/>
      </w:r>
      <w:r w:rsidRPr="003A795C">
        <w:rPr>
          <w:bCs/>
          <w:iCs/>
          <w:sz w:val="24"/>
          <w:szCs w:val="24"/>
        </w:rPr>
        <w:t>Conversion Factor Matrix Method</w:t>
      </w:r>
      <w:r w:rsidRPr="003A795C">
        <w:rPr>
          <w:bCs/>
          <w:sz w:val="24"/>
          <w:szCs w:val="24"/>
        </w:rPr>
        <w:t xml:space="preserve"> </w:t>
      </w:r>
    </w:p>
    <w:p w:rsidR="003A795C" w:rsidRDefault="003A795C" w:rsidP="001D19FA">
      <w:pPr>
        <w:pStyle w:val="ListParagraph"/>
        <w:spacing w:after="0" w:line="240" w:lineRule="auto"/>
        <w:ind w:left="2880"/>
        <w:outlineLvl w:val="4"/>
        <w:rPr>
          <w:rFonts w:ascii="Times New Roman" w:hAnsi="Times New Roman"/>
          <w:bCs/>
          <w:sz w:val="24"/>
          <w:szCs w:val="24"/>
        </w:rPr>
      </w:pPr>
      <w:r w:rsidRPr="000A367A">
        <w:rPr>
          <w:rFonts w:ascii="Times New Roman" w:hAnsi="Times New Roman"/>
          <w:bCs/>
          <w:sz w:val="24"/>
          <w:szCs w:val="24"/>
        </w:rPr>
        <w:t>The credit exposure arising from a derivative transaction under the Conversion Factor Matrix Method shall equal and remain fixed at the potential future credit exposure of the derivative transaction as</w:t>
      </w:r>
      <w:r w:rsidRPr="003A795C">
        <w:rPr>
          <w:bCs/>
          <w:sz w:val="24"/>
          <w:szCs w:val="24"/>
        </w:rPr>
        <w:t xml:space="preserve"> </w:t>
      </w:r>
      <w:r w:rsidRPr="000A367A">
        <w:rPr>
          <w:rFonts w:ascii="Times New Roman" w:hAnsi="Times New Roman"/>
          <w:bCs/>
          <w:sz w:val="24"/>
          <w:szCs w:val="24"/>
        </w:rPr>
        <w:t xml:space="preserve">determined at the execution of the transaction by reference to </w:t>
      </w:r>
      <w:r w:rsidR="001D19FA">
        <w:rPr>
          <w:rFonts w:ascii="Times New Roman" w:hAnsi="Times New Roman"/>
          <w:bCs/>
          <w:sz w:val="24"/>
          <w:szCs w:val="24"/>
        </w:rPr>
        <w:t>the following t</w:t>
      </w:r>
      <w:r w:rsidRPr="000A367A">
        <w:rPr>
          <w:rFonts w:ascii="Times New Roman" w:hAnsi="Times New Roman"/>
          <w:bCs/>
          <w:sz w:val="24"/>
          <w:szCs w:val="24"/>
        </w:rPr>
        <w:t>able</w:t>
      </w:r>
      <w:r w:rsidR="003114BE">
        <w:rPr>
          <w:rFonts w:ascii="Times New Roman" w:hAnsi="Times New Roman"/>
          <w:bCs/>
          <w:sz w:val="24"/>
          <w:szCs w:val="24"/>
        </w:rPr>
        <w:t>, which is based on the following formula:</w:t>
      </w:r>
    </w:p>
    <w:p w:rsidR="006070EB" w:rsidRDefault="006070EB" w:rsidP="001D19FA">
      <w:pPr>
        <w:pStyle w:val="ListParagraph"/>
        <w:spacing w:after="0" w:line="240" w:lineRule="auto"/>
        <w:ind w:left="2880"/>
        <w:outlineLvl w:val="4"/>
        <w:rPr>
          <w:rFonts w:ascii="Times New Roman" w:hAnsi="Times New Roman"/>
          <w:bCs/>
          <w:sz w:val="24"/>
          <w:szCs w:val="24"/>
        </w:rPr>
      </w:pPr>
    </w:p>
    <w:p w:rsidR="004814B9" w:rsidRDefault="004814B9" w:rsidP="001D19FA">
      <w:pPr>
        <w:pStyle w:val="ListParagraph"/>
        <w:spacing w:after="0" w:line="240" w:lineRule="auto"/>
        <w:ind w:left="2880"/>
        <w:outlineLvl w:val="4"/>
        <w:rPr>
          <w:rFonts w:ascii="Times New Roman" w:hAnsi="Times New Roman"/>
          <w:bCs/>
          <w:sz w:val="24"/>
          <w:szCs w:val="24"/>
        </w:rPr>
      </w:pPr>
      <w:r>
        <w:rPr>
          <w:rFonts w:ascii="Times New Roman" w:hAnsi="Times New Roman"/>
          <w:bCs/>
          <w:sz w:val="24"/>
          <w:szCs w:val="24"/>
        </w:rPr>
        <w:t>Credit exposure = (notional amount) x (conversion factor)</w:t>
      </w:r>
    </w:p>
    <w:p w:rsidR="004814B9" w:rsidRDefault="004814B9" w:rsidP="001D19FA">
      <w:pPr>
        <w:pStyle w:val="ListParagraph"/>
        <w:spacing w:after="0" w:line="240" w:lineRule="auto"/>
        <w:ind w:left="2880"/>
        <w:outlineLvl w:val="4"/>
        <w:rPr>
          <w:rFonts w:ascii="Times New Roman" w:hAnsi="Times New Roman"/>
          <w:bCs/>
          <w:sz w:val="24"/>
          <w:szCs w:val="24"/>
        </w:rPr>
      </w:pPr>
    </w:p>
    <w:tbl>
      <w:tblPr>
        <w:tblW w:w="9091"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936"/>
        <w:gridCol w:w="1773"/>
        <w:gridCol w:w="1071"/>
        <w:gridCol w:w="3267"/>
      </w:tblGrid>
      <w:tr w:rsidR="006070EB" w:rsidRPr="000A367A" w:rsidTr="00F807DE">
        <w:trPr>
          <w:cantSplit/>
          <w:tblHeader/>
        </w:trPr>
        <w:tc>
          <w:tcPr>
            <w:tcW w:w="9091" w:type="dxa"/>
            <w:gridSpan w:val="5"/>
            <w:tcBorders>
              <w:top w:val="nil"/>
              <w:left w:val="nil"/>
              <w:right w:val="nil"/>
            </w:tcBorders>
            <w:vAlign w:val="center"/>
          </w:tcPr>
          <w:p w:rsidR="006070EB" w:rsidRPr="006070EB" w:rsidRDefault="006070EB" w:rsidP="00693862">
            <w:pPr>
              <w:pStyle w:val="ListParagraph"/>
              <w:spacing w:after="0" w:line="240" w:lineRule="auto"/>
              <w:ind w:left="0"/>
              <w:jc w:val="center"/>
              <w:outlineLvl w:val="4"/>
              <w:rPr>
                <w:rFonts w:ascii="Times New Roman" w:hAnsi="Times New Roman"/>
                <w:bCs/>
                <w:smallCaps/>
                <w:sz w:val="24"/>
                <w:szCs w:val="24"/>
              </w:rPr>
            </w:pPr>
            <w:r w:rsidRPr="006070EB">
              <w:rPr>
                <w:rFonts w:ascii="Times New Roman" w:hAnsi="Times New Roman"/>
                <w:bCs/>
                <w:smallCaps/>
                <w:sz w:val="24"/>
                <w:szCs w:val="24"/>
              </w:rPr>
              <w:t>Conversion Factor Matrix for Calculating Potential Future Credit Exposure*</w:t>
            </w:r>
          </w:p>
        </w:tc>
      </w:tr>
      <w:tr w:rsidR="006070EB" w:rsidRPr="000A367A" w:rsidTr="00F807DE">
        <w:trPr>
          <w:cantSplit/>
          <w:tblHeader/>
        </w:trPr>
        <w:tc>
          <w:tcPr>
            <w:tcW w:w="2044" w:type="dxa"/>
            <w:vAlign w:val="center"/>
          </w:tcPr>
          <w:p w:rsidR="006070EB" w:rsidRPr="000A367A" w:rsidRDefault="006070EB" w:rsidP="004814B9">
            <w:pPr>
              <w:pStyle w:val="ListParagraph"/>
              <w:spacing w:after="0" w:line="240" w:lineRule="auto"/>
              <w:ind w:left="0"/>
              <w:jc w:val="center"/>
              <w:outlineLvl w:val="4"/>
              <w:rPr>
                <w:rFonts w:ascii="Times New Roman" w:hAnsi="Times New Roman"/>
                <w:bCs/>
                <w:sz w:val="24"/>
                <w:szCs w:val="24"/>
              </w:rPr>
            </w:pPr>
            <w:r w:rsidRPr="000A367A">
              <w:rPr>
                <w:rFonts w:ascii="Times New Roman" w:hAnsi="Times New Roman"/>
                <w:bCs/>
                <w:sz w:val="24"/>
                <w:szCs w:val="24"/>
              </w:rPr>
              <w:t xml:space="preserve">Original </w:t>
            </w:r>
            <w:r w:rsidR="004814B9">
              <w:rPr>
                <w:rFonts w:ascii="Times New Roman" w:hAnsi="Times New Roman"/>
                <w:bCs/>
                <w:sz w:val="24"/>
                <w:szCs w:val="24"/>
              </w:rPr>
              <w:t>M</w:t>
            </w:r>
            <w:r w:rsidRPr="000A367A">
              <w:rPr>
                <w:rFonts w:ascii="Times New Roman" w:hAnsi="Times New Roman"/>
                <w:bCs/>
                <w:sz w:val="24"/>
                <w:szCs w:val="24"/>
              </w:rPr>
              <w:t>aturity</w:t>
            </w:r>
            <w:r w:rsidRPr="000A367A">
              <w:rPr>
                <w:rFonts w:ascii="Times New Roman" w:hAnsi="Times New Roman"/>
                <w:sz w:val="24"/>
                <w:szCs w:val="24"/>
                <w:vertAlign w:val="superscript"/>
              </w:rPr>
              <w:t>**</w:t>
            </w:r>
          </w:p>
        </w:tc>
        <w:tc>
          <w:tcPr>
            <w:tcW w:w="936" w:type="dxa"/>
            <w:vAlign w:val="center"/>
          </w:tcPr>
          <w:p w:rsidR="006070EB" w:rsidRPr="000A367A" w:rsidRDefault="006070EB" w:rsidP="00693862">
            <w:pPr>
              <w:pStyle w:val="ListParagraph"/>
              <w:spacing w:after="0" w:line="240" w:lineRule="auto"/>
              <w:ind w:left="0"/>
              <w:jc w:val="center"/>
              <w:outlineLvl w:val="4"/>
              <w:rPr>
                <w:rFonts w:ascii="Times New Roman" w:hAnsi="Times New Roman"/>
                <w:bCs/>
                <w:sz w:val="24"/>
                <w:szCs w:val="24"/>
              </w:rPr>
            </w:pPr>
            <w:r w:rsidRPr="000A367A">
              <w:rPr>
                <w:rFonts w:ascii="Times New Roman" w:hAnsi="Times New Roman"/>
                <w:bCs/>
                <w:sz w:val="24"/>
                <w:szCs w:val="24"/>
              </w:rPr>
              <w:t>Interest Rate</w:t>
            </w:r>
          </w:p>
        </w:tc>
        <w:tc>
          <w:tcPr>
            <w:tcW w:w="1773" w:type="dxa"/>
            <w:vAlign w:val="center"/>
          </w:tcPr>
          <w:p w:rsidR="006070EB" w:rsidRPr="000A367A" w:rsidRDefault="006070EB" w:rsidP="00693862">
            <w:pPr>
              <w:pStyle w:val="ListParagraph"/>
              <w:spacing w:after="0" w:line="240" w:lineRule="auto"/>
              <w:ind w:left="0"/>
              <w:jc w:val="center"/>
              <w:outlineLvl w:val="4"/>
              <w:rPr>
                <w:rFonts w:ascii="Times New Roman" w:hAnsi="Times New Roman"/>
                <w:bCs/>
                <w:sz w:val="24"/>
                <w:szCs w:val="24"/>
              </w:rPr>
            </w:pPr>
            <w:r w:rsidRPr="000A367A">
              <w:rPr>
                <w:rFonts w:ascii="Times New Roman" w:hAnsi="Times New Roman"/>
                <w:bCs/>
                <w:sz w:val="24"/>
                <w:szCs w:val="24"/>
              </w:rPr>
              <w:t xml:space="preserve">Foreign </w:t>
            </w:r>
            <w:r>
              <w:rPr>
                <w:rFonts w:ascii="Times New Roman" w:hAnsi="Times New Roman"/>
                <w:bCs/>
                <w:sz w:val="24"/>
                <w:szCs w:val="24"/>
              </w:rPr>
              <w:t>E</w:t>
            </w:r>
            <w:r w:rsidRPr="000A367A">
              <w:rPr>
                <w:rFonts w:ascii="Times New Roman" w:hAnsi="Times New Roman"/>
                <w:bCs/>
                <w:sz w:val="24"/>
                <w:szCs w:val="24"/>
              </w:rPr>
              <w:t xml:space="preserve">xchange </w:t>
            </w:r>
            <w:r>
              <w:rPr>
                <w:rFonts w:ascii="Times New Roman" w:hAnsi="Times New Roman"/>
                <w:bCs/>
                <w:sz w:val="24"/>
                <w:szCs w:val="24"/>
              </w:rPr>
              <w:t>R</w:t>
            </w:r>
            <w:r w:rsidRPr="000A367A">
              <w:rPr>
                <w:rFonts w:ascii="Times New Roman" w:hAnsi="Times New Roman"/>
                <w:bCs/>
                <w:sz w:val="24"/>
                <w:szCs w:val="24"/>
              </w:rPr>
              <w:t xml:space="preserve">ate and </w:t>
            </w:r>
            <w:r>
              <w:rPr>
                <w:rFonts w:ascii="Times New Roman" w:hAnsi="Times New Roman"/>
                <w:bCs/>
                <w:sz w:val="24"/>
                <w:szCs w:val="24"/>
              </w:rPr>
              <w:t>G</w:t>
            </w:r>
            <w:r w:rsidRPr="000A367A">
              <w:rPr>
                <w:rFonts w:ascii="Times New Roman" w:hAnsi="Times New Roman"/>
                <w:bCs/>
                <w:sz w:val="24"/>
                <w:szCs w:val="24"/>
              </w:rPr>
              <w:t>old</w:t>
            </w:r>
          </w:p>
        </w:tc>
        <w:tc>
          <w:tcPr>
            <w:tcW w:w="1071" w:type="dxa"/>
            <w:vAlign w:val="center"/>
          </w:tcPr>
          <w:p w:rsidR="006070EB" w:rsidRPr="000A367A" w:rsidRDefault="006070EB" w:rsidP="00693862">
            <w:pPr>
              <w:pStyle w:val="ListParagraph"/>
              <w:spacing w:after="0" w:line="240" w:lineRule="auto"/>
              <w:ind w:left="0"/>
              <w:jc w:val="center"/>
              <w:outlineLvl w:val="4"/>
              <w:rPr>
                <w:rFonts w:ascii="Times New Roman" w:hAnsi="Times New Roman"/>
                <w:bCs/>
                <w:sz w:val="24"/>
                <w:szCs w:val="24"/>
              </w:rPr>
            </w:pPr>
            <w:r w:rsidRPr="000A367A">
              <w:rPr>
                <w:rFonts w:ascii="Times New Roman" w:hAnsi="Times New Roman"/>
                <w:bCs/>
                <w:sz w:val="24"/>
                <w:szCs w:val="24"/>
              </w:rPr>
              <w:t>Equity</w:t>
            </w:r>
          </w:p>
        </w:tc>
        <w:tc>
          <w:tcPr>
            <w:tcW w:w="3267" w:type="dxa"/>
            <w:vAlign w:val="center"/>
          </w:tcPr>
          <w:p w:rsidR="006070EB" w:rsidRDefault="006070EB" w:rsidP="00693862">
            <w:pPr>
              <w:pStyle w:val="ListParagraph"/>
              <w:spacing w:after="0" w:line="240" w:lineRule="auto"/>
              <w:ind w:left="0"/>
              <w:jc w:val="center"/>
              <w:outlineLvl w:val="4"/>
              <w:rPr>
                <w:rFonts w:ascii="Times New Roman" w:hAnsi="Times New Roman"/>
                <w:bCs/>
                <w:sz w:val="24"/>
                <w:szCs w:val="24"/>
              </w:rPr>
            </w:pPr>
            <w:r w:rsidRPr="000A367A">
              <w:rPr>
                <w:rFonts w:ascii="Times New Roman" w:hAnsi="Times New Roman"/>
                <w:bCs/>
                <w:sz w:val="24"/>
                <w:szCs w:val="24"/>
              </w:rPr>
              <w:t>Other***</w:t>
            </w:r>
          </w:p>
          <w:p w:rsidR="006070EB" w:rsidRPr="000A367A" w:rsidRDefault="006070EB" w:rsidP="00693862">
            <w:pPr>
              <w:pStyle w:val="ListParagraph"/>
              <w:spacing w:after="0" w:line="240" w:lineRule="auto"/>
              <w:ind w:left="0"/>
              <w:jc w:val="center"/>
              <w:outlineLvl w:val="4"/>
              <w:rPr>
                <w:rFonts w:ascii="Times New Roman" w:hAnsi="Times New Roman"/>
                <w:bCs/>
                <w:sz w:val="24"/>
                <w:szCs w:val="24"/>
              </w:rPr>
            </w:pPr>
            <w:r w:rsidRPr="000A367A">
              <w:rPr>
                <w:rFonts w:ascii="Times New Roman" w:hAnsi="Times New Roman"/>
                <w:bCs/>
                <w:sz w:val="24"/>
                <w:szCs w:val="24"/>
              </w:rPr>
              <w:t>(includes commodities and precious metals except gold)</w:t>
            </w:r>
          </w:p>
        </w:tc>
      </w:tr>
      <w:tr w:rsidR="006070EB" w:rsidRPr="000A367A" w:rsidTr="00F807DE">
        <w:trPr>
          <w:tblHeader/>
        </w:trPr>
        <w:tc>
          <w:tcPr>
            <w:tcW w:w="2044" w:type="dxa"/>
          </w:tcPr>
          <w:p w:rsidR="006070EB" w:rsidRPr="000A367A" w:rsidRDefault="006070EB" w:rsidP="00693862">
            <w:pPr>
              <w:pStyle w:val="ListParagraph"/>
              <w:spacing w:after="0" w:line="240" w:lineRule="auto"/>
              <w:ind w:left="4"/>
              <w:outlineLvl w:val="4"/>
              <w:rPr>
                <w:rFonts w:ascii="Times New Roman" w:hAnsi="Times New Roman"/>
                <w:bCs/>
                <w:sz w:val="24"/>
                <w:szCs w:val="24"/>
              </w:rPr>
            </w:pPr>
            <w:r w:rsidRPr="000A367A">
              <w:rPr>
                <w:rFonts w:ascii="Times New Roman" w:hAnsi="Times New Roman"/>
                <w:bCs/>
                <w:sz w:val="24"/>
                <w:szCs w:val="24"/>
              </w:rPr>
              <w:t>1 year or less</w:t>
            </w:r>
          </w:p>
        </w:tc>
        <w:tc>
          <w:tcPr>
            <w:tcW w:w="936"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.015</w:t>
            </w:r>
          </w:p>
        </w:tc>
        <w:tc>
          <w:tcPr>
            <w:tcW w:w="1773"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.015</w:t>
            </w:r>
          </w:p>
        </w:tc>
        <w:tc>
          <w:tcPr>
            <w:tcW w:w="1071"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.20</w:t>
            </w:r>
          </w:p>
        </w:tc>
        <w:tc>
          <w:tcPr>
            <w:tcW w:w="3267"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.06</w:t>
            </w:r>
          </w:p>
        </w:tc>
      </w:tr>
      <w:tr w:rsidR="006070EB" w:rsidRPr="000A367A" w:rsidTr="00F807DE">
        <w:trPr>
          <w:tblHeader/>
        </w:trPr>
        <w:tc>
          <w:tcPr>
            <w:tcW w:w="2044" w:type="dxa"/>
          </w:tcPr>
          <w:p w:rsidR="006070EB" w:rsidRPr="000A367A" w:rsidRDefault="006070EB" w:rsidP="00693862">
            <w:pPr>
              <w:pStyle w:val="ListParagraph"/>
              <w:spacing w:after="0" w:line="240" w:lineRule="auto"/>
              <w:ind w:left="4"/>
              <w:outlineLvl w:val="4"/>
              <w:rPr>
                <w:rFonts w:ascii="Times New Roman" w:hAnsi="Times New Roman"/>
                <w:bCs/>
                <w:sz w:val="24"/>
                <w:szCs w:val="24"/>
              </w:rPr>
            </w:pPr>
            <w:r w:rsidRPr="000A367A">
              <w:rPr>
                <w:rFonts w:ascii="Times New Roman" w:hAnsi="Times New Roman"/>
                <w:bCs/>
                <w:sz w:val="24"/>
                <w:szCs w:val="24"/>
              </w:rPr>
              <w:t>Over 1 to 3 years</w:t>
            </w:r>
          </w:p>
        </w:tc>
        <w:tc>
          <w:tcPr>
            <w:tcW w:w="936" w:type="dxa"/>
          </w:tcPr>
          <w:p w:rsidR="006070EB" w:rsidRPr="000A367A" w:rsidRDefault="006070EB" w:rsidP="00693862">
            <w:pPr>
              <w:pStyle w:val="ListParagraph"/>
              <w:spacing w:after="0" w:line="240" w:lineRule="auto"/>
              <w:ind w:left="-85"/>
              <w:jc w:val="center"/>
              <w:outlineLvl w:val="4"/>
              <w:rPr>
                <w:rFonts w:ascii="Times New Roman" w:hAnsi="Times New Roman"/>
                <w:bCs/>
                <w:sz w:val="24"/>
                <w:szCs w:val="24"/>
              </w:rPr>
            </w:pPr>
            <w:r w:rsidRPr="000A367A">
              <w:rPr>
                <w:rFonts w:ascii="Times New Roman" w:hAnsi="Times New Roman"/>
                <w:bCs/>
                <w:sz w:val="24"/>
                <w:szCs w:val="24"/>
              </w:rPr>
              <w:t>.03</w:t>
            </w:r>
          </w:p>
        </w:tc>
        <w:tc>
          <w:tcPr>
            <w:tcW w:w="1773" w:type="dxa"/>
          </w:tcPr>
          <w:p w:rsidR="006070EB" w:rsidRPr="000A367A" w:rsidRDefault="006070EB" w:rsidP="00693862">
            <w:pPr>
              <w:pStyle w:val="ListParagraph"/>
              <w:spacing w:after="0" w:line="240" w:lineRule="auto"/>
              <w:ind w:left="30" w:hanging="147"/>
              <w:jc w:val="center"/>
              <w:outlineLvl w:val="4"/>
              <w:rPr>
                <w:rFonts w:ascii="Times New Roman" w:hAnsi="Times New Roman"/>
                <w:bCs/>
                <w:sz w:val="24"/>
                <w:szCs w:val="24"/>
              </w:rPr>
            </w:pPr>
            <w:r w:rsidRPr="000A367A">
              <w:rPr>
                <w:rFonts w:ascii="Times New Roman" w:hAnsi="Times New Roman"/>
                <w:bCs/>
                <w:sz w:val="24"/>
                <w:szCs w:val="24"/>
              </w:rPr>
              <w:t>.03</w:t>
            </w:r>
          </w:p>
        </w:tc>
        <w:tc>
          <w:tcPr>
            <w:tcW w:w="1071"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.20</w:t>
            </w:r>
          </w:p>
        </w:tc>
        <w:tc>
          <w:tcPr>
            <w:tcW w:w="3267"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.18</w:t>
            </w:r>
          </w:p>
        </w:tc>
      </w:tr>
      <w:tr w:rsidR="006070EB" w:rsidRPr="000A367A" w:rsidTr="00F807DE">
        <w:trPr>
          <w:tblHeader/>
        </w:trPr>
        <w:tc>
          <w:tcPr>
            <w:tcW w:w="2044" w:type="dxa"/>
          </w:tcPr>
          <w:p w:rsidR="006070EB" w:rsidRPr="000A367A" w:rsidRDefault="006070EB" w:rsidP="00693862">
            <w:pPr>
              <w:pStyle w:val="ListParagraph"/>
              <w:spacing w:after="0" w:line="240" w:lineRule="auto"/>
              <w:ind w:left="4"/>
              <w:outlineLvl w:val="4"/>
              <w:rPr>
                <w:rFonts w:ascii="Times New Roman" w:hAnsi="Times New Roman"/>
                <w:bCs/>
                <w:sz w:val="24"/>
                <w:szCs w:val="24"/>
              </w:rPr>
            </w:pPr>
            <w:r w:rsidRPr="000A367A">
              <w:rPr>
                <w:rFonts w:ascii="Times New Roman" w:hAnsi="Times New Roman"/>
                <w:bCs/>
                <w:sz w:val="24"/>
                <w:szCs w:val="24"/>
              </w:rPr>
              <w:t>Over 3 to 5 years</w:t>
            </w:r>
          </w:p>
        </w:tc>
        <w:tc>
          <w:tcPr>
            <w:tcW w:w="936" w:type="dxa"/>
          </w:tcPr>
          <w:p w:rsidR="006070EB" w:rsidRPr="000A367A" w:rsidRDefault="006070EB" w:rsidP="00693862">
            <w:pPr>
              <w:pStyle w:val="ListParagraph"/>
              <w:spacing w:after="0" w:line="240" w:lineRule="auto"/>
              <w:ind w:left="-85"/>
              <w:jc w:val="center"/>
              <w:outlineLvl w:val="4"/>
              <w:rPr>
                <w:rFonts w:ascii="Times New Roman" w:hAnsi="Times New Roman"/>
                <w:bCs/>
                <w:sz w:val="24"/>
                <w:szCs w:val="24"/>
              </w:rPr>
            </w:pPr>
            <w:r w:rsidRPr="000A367A">
              <w:rPr>
                <w:rFonts w:ascii="Times New Roman" w:hAnsi="Times New Roman"/>
                <w:bCs/>
                <w:sz w:val="24"/>
                <w:szCs w:val="24"/>
              </w:rPr>
              <w:t>.06</w:t>
            </w:r>
          </w:p>
        </w:tc>
        <w:tc>
          <w:tcPr>
            <w:tcW w:w="1773" w:type="dxa"/>
          </w:tcPr>
          <w:p w:rsidR="006070EB" w:rsidRPr="000A367A" w:rsidRDefault="006070EB" w:rsidP="00693862">
            <w:pPr>
              <w:pStyle w:val="ListParagraph"/>
              <w:spacing w:after="0" w:line="240" w:lineRule="auto"/>
              <w:ind w:left="30" w:hanging="147"/>
              <w:jc w:val="center"/>
              <w:outlineLvl w:val="4"/>
              <w:rPr>
                <w:rFonts w:ascii="Times New Roman" w:hAnsi="Times New Roman"/>
                <w:bCs/>
                <w:sz w:val="24"/>
                <w:szCs w:val="24"/>
              </w:rPr>
            </w:pPr>
            <w:r w:rsidRPr="000A367A">
              <w:rPr>
                <w:rFonts w:ascii="Times New Roman" w:hAnsi="Times New Roman"/>
                <w:bCs/>
                <w:sz w:val="24"/>
                <w:szCs w:val="24"/>
              </w:rPr>
              <w:t>.06</w:t>
            </w:r>
          </w:p>
        </w:tc>
        <w:tc>
          <w:tcPr>
            <w:tcW w:w="1071"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.20</w:t>
            </w:r>
          </w:p>
        </w:tc>
        <w:tc>
          <w:tcPr>
            <w:tcW w:w="3267"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.30</w:t>
            </w:r>
          </w:p>
        </w:tc>
      </w:tr>
      <w:tr w:rsidR="006070EB" w:rsidRPr="000A367A" w:rsidTr="00F807DE">
        <w:trPr>
          <w:tblHeader/>
        </w:trPr>
        <w:tc>
          <w:tcPr>
            <w:tcW w:w="2044" w:type="dxa"/>
          </w:tcPr>
          <w:p w:rsidR="006070EB" w:rsidRPr="000A367A" w:rsidRDefault="006070EB" w:rsidP="00693862">
            <w:pPr>
              <w:pStyle w:val="ListParagraph"/>
              <w:spacing w:after="0" w:line="240" w:lineRule="auto"/>
              <w:ind w:left="4"/>
              <w:outlineLvl w:val="4"/>
              <w:rPr>
                <w:rFonts w:ascii="Times New Roman" w:hAnsi="Times New Roman"/>
                <w:bCs/>
                <w:sz w:val="24"/>
                <w:szCs w:val="24"/>
              </w:rPr>
            </w:pPr>
            <w:r w:rsidRPr="000A367A">
              <w:rPr>
                <w:rFonts w:ascii="Times New Roman" w:hAnsi="Times New Roman"/>
                <w:bCs/>
                <w:sz w:val="24"/>
                <w:szCs w:val="24"/>
              </w:rPr>
              <w:t>Over 5 to 10 years</w:t>
            </w:r>
          </w:p>
        </w:tc>
        <w:tc>
          <w:tcPr>
            <w:tcW w:w="936" w:type="dxa"/>
          </w:tcPr>
          <w:p w:rsidR="006070EB" w:rsidRPr="000A367A" w:rsidRDefault="006070EB" w:rsidP="00693862">
            <w:pPr>
              <w:pStyle w:val="ListParagraph"/>
              <w:spacing w:after="0" w:line="240" w:lineRule="auto"/>
              <w:ind w:left="-85"/>
              <w:jc w:val="center"/>
              <w:outlineLvl w:val="4"/>
              <w:rPr>
                <w:rFonts w:ascii="Times New Roman" w:hAnsi="Times New Roman"/>
                <w:bCs/>
                <w:sz w:val="24"/>
                <w:szCs w:val="24"/>
              </w:rPr>
            </w:pPr>
            <w:r w:rsidRPr="000A367A">
              <w:rPr>
                <w:rFonts w:ascii="Times New Roman" w:hAnsi="Times New Roman"/>
                <w:bCs/>
                <w:sz w:val="24"/>
                <w:szCs w:val="24"/>
              </w:rPr>
              <w:t>.12</w:t>
            </w:r>
          </w:p>
        </w:tc>
        <w:tc>
          <w:tcPr>
            <w:tcW w:w="1773" w:type="dxa"/>
          </w:tcPr>
          <w:p w:rsidR="006070EB" w:rsidRPr="000A367A" w:rsidRDefault="006070EB" w:rsidP="00693862">
            <w:pPr>
              <w:pStyle w:val="ListParagraph"/>
              <w:spacing w:after="0" w:line="240" w:lineRule="auto"/>
              <w:ind w:left="30" w:hanging="147"/>
              <w:jc w:val="center"/>
              <w:outlineLvl w:val="4"/>
              <w:rPr>
                <w:rFonts w:ascii="Times New Roman" w:hAnsi="Times New Roman"/>
                <w:bCs/>
                <w:sz w:val="24"/>
                <w:szCs w:val="24"/>
              </w:rPr>
            </w:pPr>
            <w:r w:rsidRPr="000A367A">
              <w:rPr>
                <w:rFonts w:ascii="Times New Roman" w:hAnsi="Times New Roman"/>
                <w:bCs/>
                <w:sz w:val="24"/>
                <w:szCs w:val="24"/>
              </w:rPr>
              <w:t>.12</w:t>
            </w:r>
          </w:p>
        </w:tc>
        <w:tc>
          <w:tcPr>
            <w:tcW w:w="1071"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.20</w:t>
            </w:r>
          </w:p>
        </w:tc>
        <w:tc>
          <w:tcPr>
            <w:tcW w:w="3267"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.60</w:t>
            </w:r>
          </w:p>
        </w:tc>
      </w:tr>
      <w:tr w:rsidR="006070EB" w:rsidRPr="000A367A" w:rsidTr="00F807DE">
        <w:trPr>
          <w:tblHeader/>
        </w:trPr>
        <w:tc>
          <w:tcPr>
            <w:tcW w:w="2044" w:type="dxa"/>
          </w:tcPr>
          <w:p w:rsidR="006070EB" w:rsidRPr="000A367A" w:rsidRDefault="006070EB" w:rsidP="00693862">
            <w:pPr>
              <w:pStyle w:val="ListParagraph"/>
              <w:spacing w:after="0" w:line="240" w:lineRule="auto"/>
              <w:ind w:left="4"/>
              <w:outlineLvl w:val="4"/>
              <w:rPr>
                <w:rFonts w:ascii="Times New Roman" w:hAnsi="Times New Roman"/>
                <w:bCs/>
                <w:sz w:val="24"/>
                <w:szCs w:val="24"/>
              </w:rPr>
            </w:pPr>
            <w:r w:rsidRPr="000A367A">
              <w:rPr>
                <w:rFonts w:ascii="Times New Roman" w:hAnsi="Times New Roman"/>
                <w:bCs/>
                <w:sz w:val="24"/>
                <w:szCs w:val="24"/>
              </w:rPr>
              <w:t xml:space="preserve">Over </w:t>
            </w:r>
            <w:r>
              <w:rPr>
                <w:rFonts w:ascii="Times New Roman" w:hAnsi="Times New Roman"/>
                <w:bCs/>
                <w:sz w:val="24"/>
                <w:szCs w:val="24"/>
              </w:rPr>
              <w:t>10</w:t>
            </w:r>
            <w:r w:rsidRPr="000A367A">
              <w:rPr>
                <w:rFonts w:ascii="Times New Roman" w:hAnsi="Times New Roman"/>
                <w:bCs/>
                <w:sz w:val="24"/>
                <w:szCs w:val="24"/>
              </w:rPr>
              <w:t xml:space="preserve"> years</w:t>
            </w:r>
          </w:p>
        </w:tc>
        <w:tc>
          <w:tcPr>
            <w:tcW w:w="936" w:type="dxa"/>
          </w:tcPr>
          <w:p w:rsidR="006070EB" w:rsidRPr="000A367A" w:rsidRDefault="006070EB" w:rsidP="00693862">
            <w:pPr>
              <w:pStyle w:val="ListParagraph"/>
              <w:spacing w:after="0" w:line="240" w:lineRule="auto"/>
              <w:ind w:left="-85"/>
              <w:jc w:val="center"/>
              <w:outlineLvl w:val="4"/>
              <w:rPr>
                <w:rFonts w:ascii="Times New Roman" w:hAnsi="Times New Roman"/>
                <w:bCs/>
                <w:sz w:val="24"/>
                <w:szCs w:val="24"/>
              </w:rPr>
            </w:pPr>
            <w:r w:rsidRPr="000A367A">
              <w:rPr>
                <w:rFonts w:ascii="Times New Roman" w:hAnsi="Times New Roman"/>
                <w:bCs/>
                <w:sz w:val="24"/>
                <w:szCs w:val="24"/>
              </w:rPr>
              <w:t>.30</w:t>
            </w:r>
          </w:p>
        </w:tc>
        <w:tc>
          <w:tcPr>
            <w:tcW w:w="1773" w:type="dxa"/>
          </w:tcPr>
          <w:p w:rsidR="006070EB" w:rsidRPr="000A367A" w:rsidRDefault="006070EB" w:rsidP="00693862">
            <w:pPr>
              <w:pStyle w:val="ListParagraph"/>
              <w:spacing w:after="0" w:line="240" w:lineRule="auto"/>
              <w:ind w:left="30" w:hanging="147"/>
              <w:jc w:val="center"/>
              <w:outlineLvl w:val="4"/>
              <w:rPr>
                <w:rFonts w:ascii="Times New Roman" w:hAnsi="Times New Roman"/>
                <w:bCs/>
                <w:sz w:val="24"/>
                <w:szCs w:val="24"/>
              </w:rPr>
            </w:pPr>
            <w:r w:rsidRPr="000A367A">
              <w:rPr>
                <w:rFonts w:ascii="Times New Roman" w:hAnsi="Times New Roman"/>
                <w:bCs/>
                <w:sz w:val="24"/>
                <w:szCs w:val="24"/>
              </w:rPr>
              <w:t>.30</w:t>
            </w:r>
          </w:p>
        </w:tc>
        <w:tc>
          <w:tcPr>
            <w:tcW w:w="1071" w:type="dxa"/>
          </w:tcPr>
          <w:p w:rsidR="006070EB" w:rsidRPr="000A367A" w:rsidRDefault="006070EB" w:rsidP="00693862">
            <w:pPr>
              <w:pStyle w:val="ListParagraph"/>
              <w:spacing w:after="0" w:line="240" w:lineRule="auto"/>
              <w:ind w:left="30"/>
              <w:jc w:val="center"/>
              <w:outlineLvl w:val="4"/>
              <w:rPr>
                <w:rFonts w:ascii="Times New Roman" w:hAnsi="Times New Roman"/>
                <w:bCs/>
                <w:sz w:val="24"/>
                <w:szCs w:val="24"/>
              </w:rPr>
            </w:pPr>
            <w:r w:rsidRPr="000A367A">
              <w:rPr>
                <w:rFonts w:ascii="Times New Roman" w:hAnsi="Times New Roman"/>
                <w:bCs/>
                <w:sz w:val="24"/>
                <w:szCs w:val="24"/>
              </w:rPr>
              <w:t>.20</w:t>
            </w:r>
          </w:p>
        </w:tc>
        <w:tc>
          <w:tcPr>
            <w:tcW w:w="3267" w:type="dxa"/>
          </w:tcPr>
          <w:p w:rsidR="006070EB" w:rsidRPr="000A367A" w:rsidRDefault="006070EB" w:rsidP="00693862">
            <w:pPr>
              <w:pStyle w:val="ListParagraph"/>
              <w:spacing w:after="0" w:line="240" w:lineRule="auto"/>
              <w:ind w:left="927" w:right="-126" w:hanging="1170"/>
              <w:jc w:val="center"/>
              <w:outlineLvl w:val="4"/>
              <w:rPr>
                <w:rFonts w:ascii="Times New Roman" w:hAnsi="Times New Roman"/>
                <w:bCs/>
                <w:sz w:val="24"/>
                <w:szCs w:val="24"/>
              </w:rPr>
            </w:pPr>
            <w:r w:rsidRPr="000A367A">
              <w:rPr>
                <w:rFonts w:ascii="Times New Roman" w:hAnsi="Times New Roman"/>
                <w:bCs/>
                <w:sz w:val="24"/>
                <w:szCs w:val="24"/>
              </w:rPr>
              <w:t>1.0</w:t>
            </w:r>
            <w:r>
              <w:rPr>
                <w:rFonts w:ascii="Times New Roman" w:hAnsi="Times New Roman"/>
                <w:bCs/>
                <w:sz w:val="24"/>
                <w:szCs w:val="24"/>
              </w:rPr>
              <w:t>0</w:t>
            </w:r>
          </w:p>
        </w:tc>
      </w:tr>
    </w:tbl>
    <w:p w:rsidR="006070EB" w:rsidRPr="000A367A" w:rsidRDefault="006070EB" w:rsidP="001D19FA">
      <w:pPr>
        <w:pStyle w:val="ListParagraph"/>
        <w:spacing w:after="0" w:line="240" w:lineRule="auto"/>
        <w:ind w:left="2880"/>
        <w:outlineLvl w:val="4"/>
        <w:rPr>
          <w:rFonts w:ascii="Times New Roman" w:hAnsi="Times New Roman"/>
          <w:bCs/>
          <w:sz w:val="24"/>
          <w:szCs w:val="24"/>
        </w:rPr>
      </w:pPr>
    </w:p>
    <w:p w:rsidR="003A795C" w:rsidRPr="003A795C" w:rsidRDefault="00192FEE" w:rsidP="00192FEE">
      <w:pPr>
        <w:overflowPunct/>
        <w:autoSpaceDE/>
        <w:autoSpaceDN/>
        <w:adjustRightInd/>
        <w:ind w:left="1440"/>
        <w:contextualSpacing/>
        <w:textAlignment w:val="auto"/>
        <w:outlineLvl w:val="4"/>
        <w:rPr>
          <w:bCs/>
          <w:iCs/>
          <w:sz w:val="24"/>
          <w:szCs w:val="24"/>
        </w:rPr>
      </w:pPr>
      <w:r>
        <w:rPr>
          <w:bCs/>
          <w:iCs/>
          <w:sz w:val="24"/>
          <w:szCs w:val="24"/>
        </w:rPr>
        <w:t>2</w:t>
      </w:r>
      <w:r w:rsidR="003A795C" w:rsidRPr="003A795C">
        <w:rPr>
          <w:bCs/>
          <w:iCs/>
          <w:sz w:val="24"/>
          <w:szCs w:val="24"/>
        </w:rPr>
        <w:t>)</w:t>
      </w:r>
      <w:r w:rsidR="003A795C">
        <w:rPr>
          <w:bCs/>
          <w:iCs/>
          <w:sz w:val="24"/>
          <w:szCs w:val="24"/>
        </w:rPr>
        <w:tab/>
      </w:r>
      <w:r w:rsidR="003A795C" w:rsidRPr="003A795C">
        <w:rPr>
          <w:bCs/>
          <w:iCs/>
          <w:sz w:val="24"/>
          <w:szCs w:val="24"/>
        </w:rPr>
        <w:t>Credit Derivatives</w:t>
      </w:r>
    </w:p>
    <w:p w:rsidR="003A795C" w:rsidRPr="003A795C" w:rsidRDefault="003A795C" w:rsidP="001D19FA">
      <w:pPr>
        <w:overflowPunct/>
        <w:autoSpaceDE/>
        <w:autoSpaceDN/>
        <w:adjustRightInd/>
        <w:ind w:left="1440"/>
        <w:contextualSpacing/>
        <w:textAlignment w:val="auto"/>
        <w:outlineLvl w:val="4"/>
        <w:rPr>
          <w:bCs/>
          <w:sz w:val="24"/>
          <w:szCs w:val="24"/>
        </w:rPr>
      </w:pPr>
    </w:p>
    <w:p w:rsidR="003A795C" w:rsidRPr="003A795C" w:rsidRDefault="00192FEE" w:rsidP="00192FEE">
      <w:pPr>
        <w:overflowPunct/>
        <w:autoSpaceDE/>
        <w:autoSpaceDN/>
        <w:adjustRightInd/>
        <w:ind w:left="2880" w:hanging="720"/>
        <w:contextualSpacing/>
        <w:textAlignment w:val="auto"/>
        <w:outlineLvl w:val="4"/>
        <w:rPr>
          <w:bCs/>
          <w:sz w:val="24"/>
          <w:szCs w:val="24"/>
        </w:rPr>
      </w:pPr>
      <w:r>
        <w:rPr>
          <w:bCs/>
          <w:sz w:val="24"/>
          <w:szCs w:val="24"/>
        </w:rPr>
        <w:t>A</w:t>
      </w:r>
      <w:r w:rsidR="003A795C" w:rsidRPr="003A795C">
        <w:rPr>
          <w:bCs/>
          <w:sz w:val="24"/>
          <w:szCs w:val="24"/>
        </w:rPr>
        <w:t>)</w:t>
      </w:r>
      <w:r w:rsidR="003A795C">
        <w:rPr>
          <w:bCs/>
          <w:sz w:val="24"/>
          <w:szCs w:val="24"/>
        </w:rPr>
        <w:tab/>
      </w:r>
      <w:r w:rsidR="003A795C" w:rsidRPr="003A795C">
        <w:rPr>
          <w:bCs/>
          <w:sz w:val="24"/>
          <w:szCs w:val="24"/>
        </w:rPr>
        <w:t>A state bank shall calculate the counterparty credit exposure arising from credit derivatives entered by the bank or savings association by adding the net notional value of all protection purchased from the counterparty on each reference entity.</w:t>
      </w:r>
    </w:p>
    <w:p w:rsidR="003A795C" w:rsidRPr="003A795C" w:rsidRDefault="003A795C" w:rsidP="00192FEE">
      <w:pPr>
        <w:overflowPunct/>
        <w:autoSpaceDE/>
        <w:autoSpaceDN/>
        <w:adjustRightInd/>
        <w:ind w:left="2160"/>
        <w:contextualSpacing/>
        <w:textAlignment w:val="auto"/>
        <w:outlineLvl w:val="4"/>
        <w:rPr>
          <w:bCs/>
          <w:sz w:val="24"/>
          <w:szCs w:val="24"/>
        </w:rPr>
      </w:pPr>
    </w:p>
    <w:p w:rsidR="003A795C" w:rsidRPr="003A795C" w:rsidRDefault="00192FEE" w:rsidP="00192FEE">
      <w:pPr>
        <w:overflowPunct/>
        <w:autoSpaceDE/>
        <w:autoSpaceDN/>
        <w:adjustRightInd/>
        <w:ind w:left="2880" w:hanging="720"/>
        <w:contextualSpacing/>
        <w:textAlignment w:val="auto"/>
        <w:outlineLvl w:val="4"/>
        <w:rPr>
          <w:bCs/>
          <w:sz w:val="24"/>
          <w:szCs w:val="24"/>
        </w:rPr>
      </w:pPr>
      <w:r>
        <w:rPr>
          <w:bCs/>
          <w:sz w:val="24"/>
          <w:szCs w:val="24"/>
        </w:rPr>
        <w:lastRenderedPageBreak/>
        <w:t>B</w:t>
      </w:r>
      <w:r w:rsidR="003A795C">
        <w:rPr>
          <w:bCs/>
          <w:sz w:val="24"/>
          <w:szCs w:val="24"/>
        </w:rPr>
        <w:t>)</w:t>
      </w:r>
      <w:r w:rsidR="003A795C">
        <w:rPr>
          <w:bCs/>
          <w:sz w:val="24"/>
          <w:szCs w:val="24"/>
        </w:rPr>
        <w:tab/>
      </w:r>
      <w:r w:rsidR="003A795C" w:rsidRPr="003A795C">
        <w:rPr>
          <w:bCs/>
          <w:sz w:val="24"/>
          <w:szCs w:val="24"/>
        </w:rPr>
        <w:t>A state bank shall calculate the credit exposure to a reference entity arising from credit derivatives entered by the bank by adding the notional value of all protection sold on the reference entity. However, the bank may reduce its exposure to a reference entity by the amount of any eligible credit derivative purchased on that reference entity from an eligible protection provider.</w:t>
      </w:r>
    </w:p>
    <w:p w:rsidR="003A795C" w:rsidRPr="003A795C" w:rsidRDefault="003A795C" w:rsidP="00192FEE">
      <w:pPr>
        <w:overflowPunct/>
        <w:autoSpaceDE/>
        <w:autoSpaceDN/>
        <w:adjustRightInd/>
        <w:ind w:left="2160"/>
        <w:contextualSpacing/>
        <w:textAlignment w:val="auto"/>
        <w:outlineLvl w:val="4"/>
        <w:rPr>
          <w:bCs/>
          <w:iCs/>
          <w:sz w:val="24"/>
          <w:szCs w:val="24"/>
        </w:rPr>
      </w:pPr>
    </w:p>
    <w:p w:rsidR="003A795C" w:rsidRPr="003A795C" w:rsidRDefault="00192FEE" w:rsidP="00192FEE">
      <w:pPr>
        <w:overflowPunct/>
        <w:autoSpaceDE/>
        <w:autoSpaceDN/>
        <w:adjustRightInd/>
        <w:ind w:left="2187" w:hanging="747"/>
        <w:contextualSpacing/>
        <w:textAlignment w:val="auto"/>
        <w:outlineLvl w:val="4"/>
        <w:rPr>
          <w:bCs/>
          <w:sz w:val="24"/>
          <w:szCs w:val="24"/>
        </w:rPr>
      </w:pPr>
      <w:r>
        <w:rPr>
          <w:bCs/>
          <w:iCs/>
          <w:sz w:val="24"/>
          <w:szCs w:val="24"/>
        </w:rPr>
        <w:t>3</w:t>
      </w:r>
      <w:r w:rsidR="003A795C" w:rsidRPr="003A795C">
        <w:rPr>
          <w:bCs/>
          <w:iCs/>
          <w:sz w:val="24"/>
          <w:szCs w:val="24"/>
        </w:rPr>
        <w:t>)</w:t>
      </w:r>
      <w:r w:rsidR="003A795C">
        <w:rPr>
          <w:bCs/>
          <w:iCs/>
          <w:sz w:val="24"/>
          <w:szCs w:val="24"/>
        </w:rPr>
        <w:tab/>
      </w:r>
      <w:r w:rsidR="003A795C" w:rsidRPr="003A795C">
        <w:rPr>
          <w:bCs/>
          <w:iCs/>
          <w:sz w:val="24"/>
          <w:szCs w:val="24"/>
        </w:rPr>
        <w:t xml:space="preserve">Mandatory </w:t>
      </w:r>
      <w:r w:rsidR="001D19FA">
        <w:rPr>
          <w:bCs/>
          <w:iCs/>
          <w:sz w:val="24"/>
          <w:szCs w:val="24"/>
        </w:rPr>
        <w:t>U</w:t>
      </w:r>
      <w:r w:rsidR="003A795C" w:rsidRPr="003A795C">
        <w:rPr>
          <w:bCs/>
          <w:iCs/>
          <w:sz w:val="24"/>
          <w:szCs w:val="24"/>
        </w:rPr>
        <w:t xml:space="preserve">se of a </w:t>
      </w:r>
      <w:r w:rsidR="001D19FA">
        <w:rPr>
          <w:bCs/>
          <w:iCs/>
          <w:sz w:val="24"/>
          <w:szCs w:val="24"/>
        </w:rPr>
        <w:t>C</w:t>
      </w:r>
      <w:r w:rsidR="003A795C" w:rsidRPr="003A795C">
        <w:rPr>
          <w:bCs/>
          <w:iCs/>
          <w:sz w:val="24"/>
          <w:szCs w:val="24"/>
        </w:rPr>
        <w:t xml:space="preserve">ertain </w:t>
      </w:r>
      <w:r w:rsidR="001D19FA">
        <w:rPr>
          <w:bCs/>
          <w:iCs/>
          <w:sz w:val="24"/>
          <w:szCs w:val="24"/>
        </w:rPr>
        <w:t>M</w:t>
      </w:r>
      <w:r w:rsidR="003A795C" w:rsidRPr="003A795C">
        <w:rPr>
          <w:bCs/>
          <w:iCs/>
          <w:sz w:val="24"/>
          <w:szCs w:val="24"/>
        </w:rPr>
        <w:t>ethod</w:t>
      </w:r>
      <w:r w:rsidR="003A795C" w:rsidRPr="003A795C">
        <w:rPr>
          <w:bCs/>
          <w:sz w:val="24"/>
          <w:szCs w:val="24"/>
        </w:rPr>
        <w:t xml:space="preserve"> </w:t>
      </w:r>
    </w:p>
    <w:p w:rsidR="003A795C" w:rsidRPr="003A795C" w:rsidRDefault="003A795C" w:rsidP="001D19FA">
      <w:pPr>
        <w:overflowPunct/>
        <w:autoSpaceDE/>
        <w:autoSpaceDN/>
        <w:adjustRightInd/>
        <w:ind w:left="2880" w:hanging="1440"/>
        <w:contextualSpacing/>
        <w:textAlignment w:val="auto"/>
        <w:outlineLvl w:val="4"/>
        <w:rPr>
          <w:bCs/>
          <w:sz w:val="24"/>
          <w:szCs w:val="24"/>
        </w:rPr>
      </w:pPr>
    </w:p>
    <w:p w:rsidR="003A795C" w:rsidRPr="003A795C" w:rsidRDefault="00192FEE" w:rsidP="00192FEE">
      <w:pPr>
        <w:overflowPunct/>
        <w:autoSpaceDE/>
        <w:autoSpaceDN/>
        <w:adjustRightInd/>
        <w:ind w:left="2880" w:hanging="720"/>
        <w:contextualSpacing/>
        <w:textAlignment w:val="auto"/>
        <w:outlineLvl w:val="4"/>
        <w:rPr>
          <w:bCs/>
          <w:sz w:val="24"/>
          <w:szCs w:val="24"/>
        </w:rPr>
      </w:pPr>
      <w:r>
        <w:rPr>
          <w:bCs/>
          <w:sz w:val="24"/>
          <w:szCs w:val="24"/>
        </w:rPr>
        <w:t>A</w:t>
      </w:r>
      <w:r w:rsidR="003A795C">
        <w:rPr>
          <w:bCs/>
          <w:sz w:val="24"/>
          <w:szCs w:val="24"/>
        </w:rPr>
        <w:t>)</w:t>
      </w:r>
      <w:r w:rsidR="003A795C">
        <w:rPr>
          <w:bCs/>
          <w:sz w:val="24"/>
          <w:szCs w:val="24"/>
        </w:rPr>
        <w:tab/>
      </w:r>
      <w:r w:rsidR="003A795C" w:rsidRPr="003A795C">
        <w:rPr>
          <w:bCs/>
          <w:sz w:val="24"/>
          <w:szCs w:val="24"/>
        </w:rPr>
        <w:t xml:space="preserve">Upon request by a state bank, the Department may allow a state bank to use any method the Department deems appropriate to calculate the credit exposure of derivative transactions if the Department finds that </w:t>
      </w:r>
      <w:r w:rsidR="001D19FA">
        <w:rPr>
          <w:bCs/>
          <w:sz w:val="24"/>
          <w:szCs w:val="24"/>
        </w:rPr>
        <w:t xml:space="preserve">the </w:t>
      </w:r>
      <w:r w:rsidR="003A795C" w:rsidRPr="003A795C">
        <w:rPr>
          <w:bCs/>
          <w:sz w:val="24"/>
          <w:szCs w:val="24"/>
        </w:rPr>
        <w:t>method is necessary to promote the safety and soundness of the bank.</w:t>
      </w:r>
    </w:p>
    <w:p w:rsidR="003A795C" w:rsidRPr="003A795C" w:rsidRDefault="003A795C" w:rsidP="00192FEE">
      <w:pPr>
        <w:overflowPunct/>
        <w:autoSpaceDE/>
        <w:autoSpaceDN/>
        <w:adjustRightInd/>
        <w:ind w:left="720" w:hanging="1440"/>
        <w:contextualSpacing/>
        <w:textAlignment w:val="auto"/>
        <w:outlineLvl w:val="4"/>
        <w:rPr>
          <w:bCs/>
          <w:i/>
          <w:sz w:val="24"/>
          <w:szCs w:val="24"/>
        </w:rPr>
      </w:pPr>
    </w:p>
    <w:p w:rsidR="003A795C" w:rsidRPr="003A795C" w:rsidRDefault="00192FEE" w:rsidP="00192FEE">
      <w:pPr>
        <w:ind w:left="2880" w:hanging="720"/>
        <w:rPr>
          <w:sz w:val="24"/>
          <w:szCs w:val="24"/>
        </w:rPr>
      </w:pPr>
      <w:r>
        <w:rPr>
          <w:sz w:val="24"/>
          <w:szCs w:val="24"/>
        </w:rPr>
        <w:t>B</w:t>
      </w:r>
      <w:r w:rsidR="003A795C">
        <w:rPr>
          <w:sz w:val="24"/>
          <w:szCs w:val="24"/>
        </w:rPr>
        <w:t>)</w:t>
      </w:r>
      <w:r w:rsidR="003A795C">
        <w:rPr>
          <w:sz w:val="24"/>
          <w:szCs w:val="24"/>
        </w:rPr>
        <w:tab/>
      </w:r>
      <w:r w:rsidR="003A795C" w:rsidRPr="003A795C">
        <w:rPr>
          <w:sz w:val="24"/>
          <w:szCs w:val="24"/>
        </w:rPr>
        <w:t xml:space="preserve">A state bank may elect to determine credit exposure on the basis of such other method of determining credit exposure as may be permitted by </w:t>
      </w:r>
      <w:r>
        <w:rPr>
          <w:sz w:val="24"/>
          <w:szCs w:val="24"/>
        </w:rPr>
        <w:t xml:space="preserve">12 CFR 32.9 </w:t>
      </w:r>
      <w:r w:rsidR="003114BE">
        <w:rPr>
          <w:sz w:val="24"/>
          <w:szCs w:val="24"/>
        </w:rPr>
        <w:t>(</w:t>
      </w:r>
      <w:r>
        <w:rPr>
          <w:sz w:val="24"/>
          <w:szCs w:val="24"/>
        </w:rPr>
        <w:t>June 12, 2012</w:t>
      </w:r>
      <w:r w:rsidR="003114BE">
        <w:rPr>
          <w:sz w:val="24"/>
          <w:szCs w:val="24"/>
        </w:rPr>
        <w:t>)</w:t>
      </w:r>
      <w:r>
        <w:rPr>
          <w:sz w:val="24"/>
          <w:szCs w:val="24"/>
        </w:rPr>
        <w:t xml:space="preserve"> </w:t>
      </w:r>
      <w:r w:rsidR="003A795C" w:rsidRPr="003A795C">
        <w:rPr>
          <w:sz w:val="24"/>
          <w:szCs w:val="24"/>
        </w:rPr>
        <w:t xml:space="preserve">for </w:t>
      </w:r>
      <w:r w:rsidR="001D19FA">
        <w:rPr>
          <w:sz w:val="24"/>
          <w:szCs w:val="24"/>
        </w:rPr>
        <w:t>n</w:t>
      </w:r>
      <w:r w:rsidR="003A795C" w:rsidRPr="003A795C">
        <w:rPr>
          <w:sz w:val="24"/>
          <w:szCs w:val="24"/>
        </w:rPr>
        <w:t xml:space="preserve">ational </w:t>
      </w:r>
      <w:r w:rsidR="001D19FA">
        <w:rPr>
          <w:sz w:val="24"/>
          <w:szCs w:val="24"/>
        </w:rPr>
        <w:t>b</w:t>
      </w:r>
      <w:r w:rsidR="003A795C" w:rsidRPr="003A795C">
        <w:rPr>
          <w:sz w:val="24"/>
          <w:szCs w:val="24"/>
        </w:rPr>
        <w:t>anks by the Office of the Comptroller of Currency.</w:t>
      </w:r>
    </w:p>
    <w:p w:rsidR="003A795C" w:rsidRPr="003A795C" w:rsidRDefault="003A795C" w:rsidP="001D19FA">
      <w:pPr>
        <w:ind w:left="2880"/>
        <w:rPr>
          <w:sz w:val="24"/>
          <w:szCs w:val="24"/>
        </w:rPr>
      </w:pPr>
    </w:p>
    <w:p w:rsidR="003A795C" w:rsidRPr="003A795C" w:rsidRDefault="003A795C" w:rsidP="008A5963">
      <w:pPr>
        <w:overflowPunct/>
        <w:autoSpaceDE/>
        <w:autoSpaceDN/>
        <w:adjustRightInd/>
        <w:ind w:left="432" w:hanging="414"/>
        <w:textAlignment w:val="auto"/>
        <w:rPr>
          <w:sz w:val="24"/>
          <w:szCs w:val="24"/>
        </w:rPr>
      </w:pPr>
      <w:r w:rsidRPr="003A795C">
        <w:rPr>
          <w:sz w:val="24"/>
          <w:szCs w:val="24"/>
        </w:rPr>
        <w:t>*</w:t>
      </w:r>
      <w:r>
        <w:rPr>
          <w:sz w:val="24"/>
          <w:szCs w:val="24"/>
        </w:rPr>
        <w:tab/>
      </w:r>
      <w:r w:rsidRPr="003A795C">
        <w:rPr>
          <w:sz w:val="24"/>
          <w:szCs w:val="24"/>
        </w:rPr>
        <w:t>For an OTC derivative contract with multiple exchanges of principal, the conversion factor is multiplied by the number of remaining payments in the derivative contract.</w:t>
      </w:r>
    </w:p>
    <w:p w:rsidR="003A795C" w:rsidRPr="003A795C" w:rsidRDefault="003A795C" w:rsidP="008A5963">
      <w:pPr>
        <w:overflowPunct/>
        <w:autoSpaceDE/>
        <w:autoSpaceDN/>
        <w:adjustRightInd/>
        <w:ind w:left="432" w:hanging="414"/>
        <w:textAlignment w:val="auto"/>
        <w:rPr>
          <w:sz w:val="24"/>
          <w:szCs w:val="24"/>
        </w:rPr>
      </w:pPr>
    </w:p>
    <w:p w:rsidR="003A795C" w:rsidRPr="003A795C" w:rsidRDefault="003A795C" w:rsidP="008A5963">
      <w:pPr>
        <w:overflowPunct/>
        <w:autoSpaceDE/>
        <w:autoSpaceDN/>
        <w:adjustRightInd/>
        <w:ind w:left="432" w:hanging="414"/>
        <w:textAlignment w:val="auto"/>
        <w:rPr>
          <w:sz w:val="24"/>
          <w:szCs w:val="24"/>
        </w:rPr>
      </w:pPr>
      <w:r w:rsidRPr="003A795C">
        <w:rPr>
          <w:sz w:val="24"/>
          <w:szCs w:val="24"/>
        </w:rPr>
        <w:t>**</w:t>
      </w:r>
      <w:r>
        <w:rPr>
          <w:sz w:val="24"/>
          <w:szCs w:val="24"/>
        </w:rPr>
        <w:tab/>
      </w:r>
      <w:r w:rsidRPr="003A795C">
        <w:rPr>
          <w:sz w:val="24"/>
          <w:szCs w:val="24"/>
        </w:rPr>
        <w:t xml:space="preserve">For an OTC derivative contract that is structured </w:t>
      </w:r>
      <w:r w:rsidR="001D19FA">
        <w:rPr>
          <w:sz w:val="24"/>
          <w:szCs w:val="24"/>
        </w:rPr>
        <w:t>so</w:t>
      </w:r>
      <w:r w:rsidRPr="003A795C">
        <w:rPr>
          <w:sz w:val="24"/>
          <w:szCs w:val="24"/>
        </w:rPr>
        <w:t xml:space="preserve"> that</w:t>
      </w:r>
      <w:r w:rsidR="001D19FA">
        <w:rPr>
          <w:sz w:val="24"/>
          <w:szCs w:val="24"/>
        </w:rPr>
        <w:t>,</w:t>
      </w:r>
      <w:r w:rsidRPr="003A795C">
        <w:rPr>
          <w:sz w:val="24"/>
          <w:szCs w:val="24"/>
        </w:rPr>
        <w:t xml:space="preserve"> on specified dates</w:t>
      </w:r>
      <w:r w:rsidR="001D19FA">
        <w:rPr>
          <w:sz w:val="24"/>
          <w:szCs w:val="24"/>
        </w:rPr>
        <w:t>,</w:t>
      </w:r>
      <w:r w:rsidRPr="003A795C">
        <w:rPr>
          <w:sz w:val="24"/>
          <w:szCs w:val="24"/>
        </w:rPr>
        <w:t xml:space="preserve"> any outstanding exposure is settled and the terms are reset so that the market value of the contract is zero, the remaining maturity equals the time until the next reset date. For an interest rate derivative contract with a remaining maturity of greater than one year that meets these criteria, the minimum conversion factor is 0.005.</w:t>
      </w:r>
    </w:p>
    <w:p w:rsidR="003A795C" w:rsidRPr="003A795C" w:rsidRDefault="003A795C" w:rsidP="008A5963">
      <w:pPr>
        <w:overflowPunct/>
        <w:autoSpaceDE/>
        <w:autoSpaceDN/>
        <w:adjustRightInd/>
        <w:ind w:left="432" w:hanging="414"/>
        <w:textAlignment w:val="auto"/>
        <w:rPr>
          <w:sz w:val="24"/>
          <w:szCs w:val="24"/>
        </w:rPr>
      </w:pPr>
    </w:p>
    <w:p w:rsidR="003A795C" w:rsidRPr="003A795C" w:rsidRDefault="003A795C" w:rsidP="008A5963">
      <w:pPr>
        <w:ind w:left="432" w:hanging="414"/>
        <w:rPr>
          <w:sz w:val="24"/>
          <w:szCs w:val="24"/>
        </w:rPr>
      </w:pPr>
      <w:r w:rsidRPr="003A795C">
        <w:rPr>
          <w:sz w:val="24"/>
          <w:szCs w:val="24"/>
        </w:rPr>
        <w:t>***</w:t>
      </w:r>
      <w:r>
        <w:rPr>
          <w:sz w:val="24"/>
          <w:szCs w:val="24"/>
        </w:rPr>
        <w:tab/>
      </w:r>
      <w:r w:rsidRPr="003A795C">
        <w:rPr>
          <w:sz w:val="24"/>
          <w:szCs w:val="24"/>
        </w:rPr>
        <w:t xml:space="preserve">Transactions not explicitly covered by any other column in the Table are to be treated as </w:t>
      </w:r>
      <w:r>
        <w:rPr>
          <w:sz w:val="24"/>
          <w:szCs w:val="24"/>
        </w:rPr>
        <w:t>"</w:t>
      </w:r>
      <w:r w:rsidRPr="003A795C">
        <w:rPr>
          <w:sz w:val="24"/>
          <w:szCs w:val="24"/>
        </w:rPr>
        <w:t>Other</w:t>
      </w:r>
      <w:r>
        <w:rPr>
          <w:sz w:val="24"/>
          <w:szCs w:val="24"/>
        </w:rPr>
        <w:t>"</w:t>
      </w:r>
      <w:r w:rsidR="001D19FA">
        <w:rPr>
          <w:sz w:val="24"/>
          <w:szCs w:val="24"/>
        </w:rPr>
        <w:t>.</w:t>
      </w:r>
    </w:p>
    <w:p w:rsidR="003A795C" w:rsidRDefault="001D19FA" w:rsidP="001D19FA">
      <w:r>
        <w:tab/>
      </w:r>
    </w:p>
    <w:p w:rsidR="003A795C" w:rsidRPr="003A795C" w:rsidRDefault="003A795C" w:rsidP="001D19FA">
      <w:pPr>
        <w:pStyle w:val="JCARSourceNote"/>
        <w:ind w:left="720"/>
        <w:rPr>
          <w:sz w:val="24"/>
          <w:szCs w:val="24"/>
        </w:rPr>
      </w:pPr>
      <w:r w:rsidRPr="003A795C">
        <w:rPr>
          <w:sz w:val="24"/>
          <w:szCs w:val="24"/>
        </w:rPr>
        <w:t xml:space="preserve">(Source:  Added at 37 Ill. Reg. </w:t>
      </w:r>
      <w:r w:rsidR="00387FBE">
        <w:rPr>
          <w:sz w:val="24"/>
          <w:szCs w:val="24"/>
        </w:rPr>
        <w:t>5807</w:t>
      </w:r>
      <w:r w:rsidRPr="003A795C">
        <w:rPr>
          <w:sz w:val="24"/>
          <w:szCs w:val="24"/>
        </w:rPr>
        <w:t xml:space="preserve">, effective </w:t>
      </w:r>
      <w:bookmarkStart w:id="0" w:name="_GoBack"/>
      <w:r w:rsidR="00387FBE">
        <w:rPr>
          <w:sz w:val="24"/>
          <w:szCs w:val="24"/>
        </w:rPr>
        <w:t>April 22, 2013</w:t>
      </w:r>
      <w:bookmarkEnd w:id="0"/>
      <w:r w:rsidRPr="003A795C">
        <w:rPr>
          <w:sz w:val="24"/>
          <w:szCs w:val="24"/>
        </w:rPr>
        <w:t>)</w:t>
      </w:r>
    </w:p>
    <w:sectPr w:rsidR="003A795C" w:rsidRPr="003A79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6A" w:rsidRDefault="009B356A">
      <w:r>
        <w:separator/>
      </w:r>
    </w:p>
  </w:endnote>
  <w:endnote w:type="continuationSeparator" w:id="0">
    <w:p w:rsidR="009B356A" w:rsidRDefault="009B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6A" w:rsidRDefault="009B356A">
      <w:r>
        <w:separator/>
      </w:r>
    </w:p>
  </w:footnote>
  <w:footnote w:type="continuationSeparator" w:id="0">
    <w:p w:rsidR="009B356A" w:rsidRDefault="009B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3376"/>
    <w:multiLevelType w:val="hybridMultilevel"/>
    <w:tmpl w:val="4A2E5550"/>
    <w:lvl w:ilvl="0" w:tplc="504CDE44">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A9F5A7A"/>
    <w:multiLevelType w:val="hybridMultilevel"/>
    <w:tmpl w:val="239435FE"/>
    <w:lvl w:ilvl="0" w:tplc="BDF88C12">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49BE3AF8"/>
    <w:multiLevelType w:val="hybridMultilevel"/>
    <w:tmpl w:val="59C8AB60"/>
    <w:lvl w:ilvl="0" w:tplc="58AC530C">
      <w:start w:val="2"/>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4A7C4AB1"/>
    <w:multiLevelType w:val="hybridMultilevel"/>
    <w:tmpl w:val="F69EB750"/>
    <w:lvl w:ilvl="0" w:tplc="58285B8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6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C15"/>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FEE"/>
    <w:rsid w:val="00193ABB"/>
    <w:rsid w:val="0019502A"/>
    <w:rsid w:val="001A6EDB"/>
    <w:rsid w:val="001B5F27"/>
    <w:rsid w:val="001C1D61"/>
    <w:rsid w:val="001C71C2"/>
    <w:rsid w:val="001C7D95"/>
    <w:rsid w:val="001D0EBA"/>
    <w:rsid w:val="001D0EFC"/>
    <w:rsid w:val="001D19FA"/>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4B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87FBE"/>
    <w:rsid w:val="0039357E"/>
    <w:rsid w:val="00393652"/>
    <w:rsid w:val="00394002"/>
    <w:rsid w:val="0039695D"/>
    <w:rsid w:val="003A431C"/>
    <w:rsid w:val="003A4E0A"/>
    <w:rsid w:val="003A6E65"/>
    <w:rsid w:val="003A795C"/>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4B9"/>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5A06"/>
    <w:rsid w:val="005C7438"/>
    <w:rsid w:val="005D35F3"/>
    <w:rsid w:val="005E03A7"/>
    <w:rsid w:val="005E3D55"/>
    <w:rsid w:val="005F2891"/>
    <w:rsid w:val="00604BCE"/>
    <w:rsid w:val="006070EB"/>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96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0E8"/>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56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7DE"/>
    <w:rsid w:val="00F8142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95C"/>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A795C"/>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e-03">
    <w:name w:val="e-03"/>
    <w:basedOn w:val="DefaultParagraphFont"/>
    <w:rsid w:val="003A79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95C"/>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A795C"/>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e-03">
    <w:name w:val="e-03"/>
    <w:basedOn w:val="DefaultParagraphFont"/>
    <w:rsid w:val="003A79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Office Word</Application>
  <DocSecurity>0</DocSecurity>
  <Lines>27</Lines>
  <Paragraphs>7</Paragraphs>
  <ScaleCrop>false</ScaleCrop>
  <Company>Illinois General Assembly</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2013-04-17T19:54:00Z</dcterms:created>
  <dcterms:modified xsi:type="dcterms:W3CDTF">2013-04-26T18:46:00Z</dcterms:modified>
</cp:coreProperties>
</file>