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5A" w:rsidRDefault="00847C5A" w:rsidP="00847C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C5A" w:rsidRDefault="00847C5A" w:rsidP="00847C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  Permissible ADC Lending Transactions by State Banks</w:t>
      </w:r>
      <w:r>
        <w:t xml:space="preserve"> </w:t>
      </w:r>
    </w:p>
    <w:p w:rsidR="00847C5A" w:rsidRDefault="00847C5A" w:rsidP="00847C5A">
      <w:pPr>
        <w:widowControl w:val="0"/>
        <w:autoSpaceDE w:val="0"/>
        <w:autoSpaceDN w:val="0"/>
        <w:adjustRightInd w:val="0"/>
      </w:pPr>
    </w:p>
    <w:p w:rsidR="00847C5A" w:rsidRDefault="00847C5A" w:rsidP="00847C5A">
      <w:pPr>
        <w:widowControl w:val="0"/>
        <w:autoSpaceDE w:val="0"/>
        <w:autoSpaceDN w:val="0"/>
        <w:adjustRightInd w:val="0"/>
      </w:pPr>
      <w:r>
        <w:t xml:space="preserve">State banks may engage in or purchase participations in ADC lending transactions unless such transactions are structured in such a manner that the state bank has the same risks and potential rewards as those of an investor or a joint </w:t>
      </w:r>
      <w:proofErr w:type="spellStart"/>
      <w:r>
        <w:t>venturer</w:t>
      </w:r>
      <w:proofErr w:type="spellEnd"/>
      <w:r>
        <w:t xml:space="preserve"> in real estate. </w:t>
      </w:r>
    </w:p>
    <w:sectPr w:rsidR="00847C5A" w:rsidSect="00847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C5A"/>
    <w:rsid w:val="005C3366"/>
    <w:rsid w:val="00847C5A"/>
    <w:rsid w:val="00967D5C"/>
    <w:rsid w:val="00B9789E"/>
    <w:rsid w:val="00C7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