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4E" w:rsidRDefault="00D0564E" w:rsidP="00D056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564E" w:rsidRDefault="00D0564E" w:rsidP="00D056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375.50  Assessment of Accrued Fees Against a Converting or Merging State Bank</w:t>
      </w:r>
      <w:r>
        <w:t xml:space="preserve"> </w:t>
      </w:r>
    </w:p>
    <w:p w:rsidR="00D0564E" w:rsidRDefault="00D0564E" w:rsidP="00D0564E">
      <w:pPr>
        <w:widowControl w:val="0"/>
        <w:autoSpaceDE w:val="0"/>
        <w:autoSpaceDN w:val="0"/>
        <w:adjustRightInd w:val="0"/>
      </w:pPr>
    </w:p>
    <w:p w:rsidR="00D0564E" w:rsidRDefault="00D0564E" w:rsidP="00D0564E">
      <w:pPr>
        <w:widowControl w:val="0"/>
        <w:autoSpaceDE w:val="0"/>
        <w:autoSpaceDN w:val="0"/>
        <w:adjustRightInd w:val="0"/>
      </w:pPr>
      <w:r>
        <w:t xml:space="preserve">When a state bank converts to a national bank, merges into a resulting national bank, dissolves, surrenders its certificate of authority or in any other manner ceases to be a state bank, such state bank shall be liable on a pro rata basis to the Commissioner for any accumulated Call Report Fee and EDP fee up to, and including, the date that the state bank ceases to be a state bank. </w:t>
      </w:r>
    </w:p>
    <w:p w:rsidR="00D0564E" w:rsidRDefault="00D0564E" w:rsidP="00D0564E">
      <w:pPr>
        <w:widowControl w:val="0"/>
        <w:autoSpaceDE w:val="0"/>
        <w:autoSpaceDN w:val="0"/>
        <w:adjustRightInd w:val="0"/>
      </w:pPr>
    </w:p>
    <w:p w:rsidR="00D0564E" w:rsidRDefault="00D0564E" w:rsidP="00D056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225, effective December 31, 1999) </w:t>
      </w:r>
    </w:p>
    <w:sectPr w:rsidR="00D0564E" w:rsidSect="00D05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64E"/>
    <w:rsid w:val="005C3366"/>
    <w:rsid w:val="007F765B"/>
    <w:rsid w:val="009F2801"/>
    <w:rsid w:val="00BB6A33"/>
    <w:rsid w:val="00D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