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A6" w:rsidRDefault="00E341A6" w:rsidP="00E341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41A6" w:rsidRDefault="00E341A6" w:rsidP="00E341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1000.2030  Stock Sales</w:t>
      </w:r>
      <w:r>
        <w:t xml:space="preserve"> </w:t>
      </w:r>
    </w:p>
    <w:p w:rsidR="00E341A6" w:rsidRDefault="00E341A6" w:rsidP="00E341A6">
      <w:pPr>
        <w:widowControl w:val="0"/>
        <w:autoSpaceDE w:val="0"/>
        <w:autoSpaceDN w:val="0"/>
        <w:adjustRightInd w:val="0"/>
      </w:pPr>
    </w:p>
    <w:p w:rsidR="00E341A6" w:rsidRDefault="00E341A6" w:rsidP="00E341A6">
      <w:pPr>
        <w:widowControl w:val="0"/>
        <w:autoSpaceDE w:val="0"/>
        <w:autoSpaceDN w:val="0"/>
        <w:adjustRightInd w:val="0"/>
      </w:pPr>
      <w:r>
        <w:t xml:space="preserve">At least 51% of the stock issued by the subsidiary stock institution must be owned by the holding company. </w:t>
      </w:r>
    </w:p>
    <w:p w:rsidR="00E341A6" w:rsidRDefault="00E341A6" w:rsidP="00E341A6">
      <w:pPr>
        <w:widowControl w:val="0"/>
        <w:autoSpaceDE w:val="0"/>
        <w:autoSpaceDN w:val="0"/>
        <w:adjustRightInd w:val="0"/>
      </w:pPr>
    </w:p>
    <w:p w:rsidR="00E341A6" w:rsidRDefault="00E341A6" w:rsidP="00E341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15165, effective September 13, 1988) </w:t>
      </w:r>
    </w:p>
    <w:sectPr w:rsidR="00E341A6" w:rsidSect="00E341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41A6"/>
    <w:rsid w:val="00245024"/>
    <w:rsid w:val="005C3366"/>
    <w:rsid w:val="00904B81"/>
    <w:rsid w:val="00B30E16"/>
    <w:rsid w:val="00E3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