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2A" w:rsidRDefault="009F392A" w:rsidP="009F39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92A" w:rsidRDefault="009F392A" w:rsidP="009F39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1000.3250  Pre-Paid Insurance Products and Warranties</w:t>
      </w:r>
      <w:r>
        <w:t xml:space="preserve"> </w:t>
      </w:r>
    </w:p>
    <w:p w:rsidR="009F392A" w:rsidRDefault="009F392A" w:rsidP="009F392A">
      <w:pPr>
        <w:widowControl w:val="0"/>
        <w:autoSpaceDE w:val="0"/>
        <w:autoSpaceDN w:val="0"/>
        <w:adjustRightInd w:val="0"/>
      </w:pPr>
    </w:p>
    <w:p w:rsidR="009F392A" w:rsidRDefault="009F392A" w:rsidP="009F392A">
      <w:pPr>
        <w:widowControl w:val="0"/>
        <w:autoSpaceDE w:val="0"/>
        <w:autoSpaceDN w:val="0"/>
        <w:adjustRightInd w:val="0"/>
      </w:pPr>
      <w:r>
        <w:t xml:space="preserve">No lender shall make a high risk home loan that finances a single premium credit life, credit disability, credit unemployment, or any other life or health insurance, directly or indirectly.  Insurance calculated and paid on a monthly basis shall not be considered to be financed by the lender. </w:t>
      </w:r>
    </w:p>
    <w:p w:rsidR="009F392A" w:rsidRDefault="009F392A" w:rsidP="009F392A">
      <w:pPr>
        <w:widowControl w:val="0"/>
        <w:autoSpaceDE w:val="0"/>
        <w:autoSpaceDN w:val="0"/>
        <w:adjustRightInd w:val="0"/>
      </w:pPr>
    </w:p>
    <w:p w:rsidR="009F392A" w:rsidRDefault="009F392A" w:rsidP="009F39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6152, effective May 17, 2001) </w:t>
      </w:r>
    </w:p>
    <w:sectPr w:rsidR="009F392A" w:rsidSect="009F39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92A"/>
    <w:rsid w:val="001E190D"/>
    <w:rsid w:val="005C3366"/>
    <w:rsid w:val="00720AC1"/>
    <w:rsid w:val="009F392A"/>
    <w:rsid w:val="00B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