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47A" w:rsidRDefault="001B247A" w:rsidP="001B247A">
      <w:pPr>
        <w:widowControl w:val="0"/>
        <w:autoSpaceDE w:val="0"/>
        <w:autoSpaceDN w:val="0"/>
        <w:adjustRightInd w:val="0"/>
      </w:pPr>
    </w:p>
    <w:p w:rsidR="001B247A" w:rsidRDefault="001B247A" w:rsidP="001B247A">
      <w:pPr>
        <w:widowControl w:val="0"/>
        <w:autoSpaceDE w:val="0"/>
        <w:autoSpaceDN w:val="0"/>
        <w:adjustRightInd w:val="0"/>
      </w:pPr>
      <w:r>
        <w:rPr>
          <w:b/>
          <w:bCs/>
        </w:rPr>
        <w:t>Section 1050.490  Bonding Requirements</w:t>
      </w:r>
      <w:r>
        <w:t xml:space="preserve"> </w:t>
      </w:r>
    </w:p>
    <w:p w:rsidR="001B247A" w:rsidRDefault="001B247A" w:rsidP="001B247A">
      <w:pPr>
        <w:widowControl w:val="0"/>
        <w:autoSpaceDE w:val="0"/>
        <w:autoSpaceDN w:val="0"/>
        <w:adjustRightInd w:val="0"/>
      </w:pPr>
    </w:p>
    <w:p w:rsidR="001B247A" w:rsidRDefault="009859CD" w:rsidP="009859CD">
      <w:pPr>
        <w:widowControl w:val="0"/>
        <w:autoSpaceDE w:val="0"/>
        <w:autoSpaceDN w:val="0"/>
        <w:adjustRightInd w:val="0"/>
        <w:ind w:left="1440" w:hanging="720"/>
      </w:pPr>
      <w:r>
        <w:t>a)</w:t>
      </w:r>
      <w:r>
        <w:tab/>
      </w:r>
      <w:r w:rsidR="008B0BC2">
        <w:t>In lieu of a paper surety bond, each</w:t>
      </w:r>
      <w:r w:rsidR="001B247A">
        <w:t xml:space="preserve"> licensee shall </w:t>
      </w:r>
      <w:r w:rsidR="008B0BC2">
        <w:t xml:space="preserve">file and </w:t>
      </w:r>
      <w:r w:rsidR="001B247A">
        <w:t xml:space="preserve">maintain </w:t>
      </w:r>
      <w:r w:rsidR="008B0BC2">
        <w:t>an electronic surety</w:t>
      </w:r>
      <w:r w:rsidR="001B247A">
        <w:t xml:space="preserve"> bond in </w:t>
      </w:r>
      <w:r w:rsidR="008B0BC2">
        <w:t xml:space="preserve">the </w:t>
      </w:r>
      <w:r w:rsidR="00FE4914">
        <w:t>NMLS</w:t>
      </w:r>
      <w:r w:rsidR="008B0BC2">
        <w:t xml:space="preserve"> in </w:t>
      </w:r>
      <w:r w:rsidR="001B247A">
        <w:t>conformance with Section 3-1 of the Act</w:t>
      </w:r>
      <w:r w:rsidR="008B0BC2">
        <w:t xml:space="preserve">.  The amount of </w:t>
      </w:r>
      <w:r w:rsidR="00BE5F84">
        <w:t xml:space="preserve">the </w:t>
      </w:r>
      <w:r w:rsidR="008B0BC2">
        <w:t>bond shall be</w:t>
      </w:r>
      <w:r w:rsidR="001B247A">
        <w:t xml:space="preserve"> not less than </w:t>
      </w:r>
      <w:r w:rsidR="008B0BC2">
        <w:t>$25,000 and in an amount</w:t>
      </w:r>
      <w:r>
        <w:t xml:space="preserve"> according to the scale in subsection (b)</w:t>
      </w:r>
      <w:r w:rsidR="001B247A">
        <w:t xml:space="preserve">. </w:t>
      </w:r>
    </w:p>
    <w:p w:rsidR="009859CD" w:rsidRDefault="009859CD" w:rsidP="002F5589">
      <w:pPr>
        <w:widowControl w:val="0"/>
        <w:autoSpaceDE w:val="0"/>
        <w:autoSpaceDN w:val="0"/>
        <w:adjustRightInd w:val="0"/>
      </w:pPr>
    </w:p>
    <w:p w:rsidR="009859CD" w:rsidRDefault="009859CD" w:rsidP="00117DAA">
      <w:pPr>
        <w:widowControl w:val="0"/>
        <w:autoSpaceDE w:val="0"/>
        <w:autoSpaceDN w:val="0"/>
        <w:adjustRightInd w:val="0"/>
        <w:ind w:left="1422" w:hanging="702"/>
      </w:pPr>
      <w:r w:rsidRPr="002B5E71">
        <w:t>b)</w:t>
      </w:r>
      <w:r>
        <w:tab/>
      </w:r>
      <w:r w:rsidRPr="002B5E71">
        <w:t xml:space="preserve">Each Mortgage Loan Originator must be covered by </w:t>
      </w:r>
      <w:r w:rsidR="008B0BC2">
        <w:t>the electronic</w:t>
      </w:r>
      <w:r w:rsidRPr="002B5E71">
        <w:t xml:space="preserve"> surety bond </w:t>
      </w:r>
      <w:r w:rsidR="008B0BC2">
        <w:t xml:space="preserve">filed and maintained by his or her employing licensee pursuant to subsection (a).  Registered exempt companies </w:t>
      </w:r>
      <w:r w:rsidR="00FE4914">
        <w:t xml:space="preserve">or entities </w:t>
      </w:r>
      <w:r w:rsidR="008B0BC2">
        <w:t>shall file and maintain electronic surety bonds in the same manner as subsection (a) for the purpose of covering their Mortgage Loan Originator employees</w:t>
      </w:r>
      <w:r w:rsidR="00FE4914">
        <w:t xml:space="preserve"> or sponsored individuals</w:t>
      </w:r>
      <w:r w:rsidRPr="002B5E71">
        <w:t xml:space="preserve">.  Licensed mortgage brokers and mortgage bankers </w:t>
      </w:r>
      <w:r w:rsidR="00E7374A">
        <w:t xml:space="preserve">and exempt company </w:t>
      </w:r>
      <w:r w:rsidR="00FE4914">
        <w:t xml:space="preserve">or entity </w:t>
      </w:r>
      <w:r w:rsidR="00E7374A">
        <w:t xml:space="preserve">registrants </w:t>
      </w:r>
      <w:r w:rsidRPr="002B5E71">
        <w:t xml:space="preserve">must file </w:t>
      </w:r>
      <w:r w:rsidR="008B0BC2">
        <w:t>and maintain an electronic</w:t>
      </w:r>
      <w:r w:rsidRPr="002B5E71">
        <w:t xml:space="preserve"> surety bond that provides coverage for each sponsored Mortgage Loan Originator in an amount that reflects the dollar amount of </w:t>
      </w:r>
      <w:r w:rsidR="00E7374A">
        <w:t xml:space="preserve">Illinois </w:t>
      </w:r>
      <w:r w:rsidRPr="002B5E71">
        <w:t xml:space="preserve">mortgage loans applied for or originated by its Mortgage Loan Originators during the preceding calendar year.  </w:t>
      </w:r>
      <w:r w:rsidR="00FE4914">
        <w:t xml:space="preserve">Exempt independent loan processing entity registrants must file and maintain an electronic surety bond in the same manner as subsection (a) that provides coverage for each sponsored Mortgage Loan Originator in the amount of $50,000.  </w:t>
      </w:r>
      <w:r w:rsidRPr="002B5E71">
        <w:t xml:space="preserve">The surety bond amount will be set for each licensed mortgage broker and mortgage banker </w:t>
      </w:r>
      <w:r w:rsidR="00E7374A">
        <w:t>and registered exempt compan</w:t>
      </w:r>
      <w:r w:rsidR="009B08E2">
        <w:t>y</w:t>
      </w:r>
      <w:r w:rsidR="00E7374A">
        <w:t xml:space="preserve"> </w:t>
      </w:r>
      <w:r w:rsidR="00FE4914">
        <w:t xml:space="preserve">or entity </w:t>
      </w:r>
      <w:r w:rsidRPr="002B5E71">
        <w:t>in accordance with the following scale</w:t>
      </w:r>
      <w:r w:rsidR="00FE4914" w:rsidRPr="00927984">
        <w:t>, or</w:t>
      </w:r>
      <w:r w:rsidR="00F842BC" w:rsidRPr="00927984">
        <w:t xml:space="preserve">, </w:t>
      </w:r>
      <w:r w:rsidR="00FE4914" w:rsidRPr="00927984">
        <w:t>for exempt independent loan processing entity registrants</w:t>
      </w:r>
      <w:r w:rsidRPr="002B5E71">
        <w:t xml:space="preserve">, </w:t>
      </w:r>
      <w:r w:rsidR="00A343B3">
        <w:t xml:space="preserve">the $50,000, </w:t>
      </w:r>
      <w:r w:rsidRPr="002B5E71">
        <w:t xml:space="preserve">based upon </w:t>
      </w:r>
      <w:r w:rsidR="00E7374A">
        <w:t xml:space="preserve">Illinois </w:t>
      </w:r>
      <w:r w:rsidRPr="002B5E71">
        <w:t xml:space="preserve">residential mortgage loans brokered, </w:t>
      </w:r>
      <w:r w:rsidR="00FE4914">
        <w:t xml:space="preserve">processed, underwritten, </w:t>
      </w:r>
      <w:r w:rsidRPr="002B5E71">
        <w:t>funded, originated, serviced or purchased, as the case may be, during the preceding calendar year:</w:t>
      </w:r>
    </w:p>
    <w:p w:rsidR="009859CD" w:rsidRPr="002B5E71" w:rsidRDefault="009859CD" w:rsidP="002F5589">
      <w:pPr>
        <w:widowControl w:val="0"/>
        <w:autoSpaceDE w:val="0"/>
        <w:autoSpaceDN w:val="0"/>
        <w:adjustRightInd w:val="0"/>
      </w:pPr>
    </w:p>
    <w:tbl>
      <w:tblPr>
        <w:tblW w:w="0" w:type="auto"/>
        <w:tblInd w:w="1932" w:type="dxa"/>
        <w:tblLook w:val="0000" w:firstRow="0" w:lastRow="0" w:firstColumn="0" w:lastColumn="0" w:noHBand="0" w:noVBand="0"/>
      </w:tblPr>
      <w:tblGrid>
        <w:gridCol w:w="3666"/>
        <w:gridCol w:w="2547"/>
      </w:tblGrid>
      <w:tr w:rsidR="009859CD" w:rsidTr="00117DAA">
        <w:tc>
          <w:tcPr>
            <w:tcW w:w="3666" w:type="dxa"/>
          </w:tcPr>
          <w:p w:rsidR="009859CD" w:rsidRPr="000F7BF9" w:rsidRDefault="009859CD" w:rsidP="005C1C99">
            <w:pPr>
              <w:ind w:left="-6" w:right="702"/>
              <w:jc w:val="center"/>
              <w:rPr>
                <w:b/>
              </w:rPr>
            </w:pPr>
            <w:r w:rsidRPr="000F7BF9">
              <w:rPr>
                <w:b/>
              </w:rPr>
              <w:t>Loans</w:t>
            </w:r>
          </w:p>
        </w:tc>
        <w:tc>
          <w:tcPr>
            <w:tcW w:w="2547" w:type="dxa"/>
          </w:tcPr>
          <w:p w:rsidR="009859CD" w:rsidRPr="0068738F" w:rsidRDefault="009859CD" w:rsidP="00117DAA">
            <w:pPr>
              <w:widowControl w:val="0"/>
              <w:autoSpaceDE w:val="0"/>
              <w:autoSpaceDN w:val="0"/>
              <w:adjustRightInd w:val="0"/>
              <w:ind w:hanging="18"/>
              <w:jc w:val="center"/>
              <w:rPr>
                <w:b/>
              </w:rPr>
            </w:pPr>
            <w:r w:rsidRPr="0068738F">
              <w:rPr>
                <w:b/>
              </w:rPr>
              <w:t>Bond Amount</w:t>
            </w:r>
          </w:p>
        </w:tc>
      </w:tr>
      <w:tr w:rsidR="009859CD" w:rsidTr="00117DAA">
        <w:tc>
          <w:tcPr>
            <w:tcW w:w="3666" w:type="dxa"/>
          </w:tcPr>
          <w:p w:rsidR="009859CD" w:rsidRDefault="009859CD" w:rsidP="009859CD">
            <w:pPr>
              <w:widowControl w:val="0"/>
              <w:autoSpaceDE w:val="0"/>
              <w:autoSpaceDN w:val="0"/>
              <w:adjustRightInd w:val="0"/>
            </w:pPr>
          </w:p>
        </w:tc>
        <w:tc>
          <w:tcPr>
            <w:tcW w:w="2547" w:type="dxa"/>
          </w:tcPr>
          <w:p w:rsidR="009859CD" w:rsidRDefault="009859CD" w:rsidP="009859CD">
            <w:pPr>
              <w:widowControl w:val="0"/>
              <w:autoSpaceDE w:val="0"/>
              <w:autoSpaceDN w:val="0"/>
              <w:adjustRightInd w:val="0"/>
            </w:pPr>
          </w:p>
        </w:tc>
      </w:tr>
      <w:tr w:rsidR="009859CD" w:rsidTr="00117DAA">
        <w:tc>
          <w:tcPr>
            <w:tcW w:w="3666" w:type="dxa"/>
          </w:tcPr>
          <w:p w:rsidR="009859CD" w:rsidRDefault="009859CD" w:rsidP="005C1C99">
            <w:pPr>
              <w:widowControl w:val="0"/>
              <w:autoSpaceDE w:val="0"/>
              <w:autoSpaceDN w:val="0"/>
              <w:adjustRightInd w:val="0"/>
              <w:ind w:left="174"/>
            </w:pPr>
            <w:r>
              <w:t xml:space="preserve">$0 </w:t>
            </w:r>
            <w:r w:rsidR="0068738F">
              <w:t>-</w:t>
            </w:r>
            <w:r>
              <w:t xml:space="preserve"> $5,000,000</w:t>
            </w:r>
          </w:p>
        </w:tc>
        <w:tc>
          <w:tcPr>
            <w:tcW w:w="2547" w:type="dxa"/>
          </w:tcPr>
          <w:p w:rsidR="009859CD" w:rsidRDefault="009859CD" w:rsidP="005C1C99">
            <w:pPr>
              <w:widowControl w:val="0"/>
              <w:autoSpaceDE w:val="0"/>
              <w:autoSpaceDN w:val="0"/>
              <w:adjustRightInd w:val="0"/>
              <w:ind w:right="657"/>
              <w:jc w:val="right"/>
            </w:pPr>
            <w:r>
              <w:t>$25,000</w:t>
            </w:r>
          </w:p>
        </w:tc>
      </w:tr>
      <w:tr w:rsidR="009859CD" w:rsidTr="00117DAA">
        <w:tc>
          <w:tcPr>
            <w:tcW w:w="3666" w:type="dxa"/>
          </w:tcPr>
          <w:p w:rsidR="009859CD" w:rsidRDefault="009859CD" w:rsidP="005C1C99">
            <w:pPr>
              <w:widowControl w:val="0"/>
              <w:autoSpaceDE w:val="0"/>
              <w:autoSpaceDN w:val="0"/>
              <w:adjustRightInd w:val="0"/>
              <w:ind w:left="174"/>
            </w:pPr>
            <w:r>
              <w:t xml:space="preserve">$5,000,001 </w:t>
            </w:r>
            <w:r w:rsidR="0068738F">
              <w:t>-</w:t>
            </w:r>
            <w:r>
              <w:t xml:space="preserve"> $20,000,000</w:t>
            </w:r>
          </w:p>
        </w:tc>
        <w:tc>
          <w:tcPr>
            <w:tcW w:w="2547" w:type="dxa"/>
          </w:tcPr>
          <w:p w:rsidR="009859CD" w:rsidRDefault="009859CD" w:rsidP="005C1C99">
            <w:pPr>
              <w:widowControl w:val="0"/>
              <w:autoSpaceDE w:val="0"/>
              <w:autoSpaceDN w:val="0"/>
              <w:adjustRightInd w:val="0"/>
              <w:ind w:right="657"/>
              <w:jc w:val="right"/>
            </w:pPr>
            <w:r>
              <w:t>$50,000</w:t>
            </w:r>
          </w:p>
        </w:tc>
      </w:tr>
      <w:tr w:rsidR="009859CD" w:rsidTr="00117DAA">
        <w:tc>
          <w:tcPr>
            <w:tcW w:w="3666" w:type="dxa"/>
          </w:tcPr>
          <w:p w:rsidR="009859CD" w:rsidRDefault="009859CD" w:rsidP="005C1C99">
            <w:pPr>
              <w:widowControl w:val="0"/>
              <w:autoSpaceDE w:val="0"/>
              <w:autoSpaceDN w:val="0"/>
              <w:adjustRightInd w:val="0"/>
              <w:ind w:left="174"/>
            </w:pPr>
            <w:r>
              <w:t xml:space="preserve">$20,000,001 </w:t>
            </w:r>
            <w:r w:rsidR="0068738F">
              <w:t>-</w:t>
            </w:r>
            <w:r>
              <w:t xml:space="preserve"> $50,000,000</w:t>
            </w:r>
          </w:p>
        </w:tc>
        <w:tc>
          <w:tcPr>
            <w:tcW w:w="2547" w:type="dxa"/>
          </w:tcPr>
          <w:p w:rsidR="009859CD" w:rsidRDefault="009859CD" w:rsidP="005C1C99">
            <w:pPr>
              <w:widowControl w:val="0"/>
              <w:autoSpaceDE w:val="0"/>
              <w:autoSpaceDN w:val="0"/>
              <w:adjustRightInd w:val="0"/>
              <w:ind w:right="657"/>
              <w:jc w:val="right"/>
            </w:pPr>
            <w:r>
              <w:t>$75,000</w:t>
            </w:r>
          </w:p>
        </w:tc>
      </w:tr>
      <w:tr w:rsidR="009859CD" w:rsidTr="00117DAA">
        <w:tc>
          <w:tcPr>
            <w:tcW w:w="3666" w:type="dxa"/>
          </w:tcPr>
          <w:p w:rsidR="009859CD" w:rsidRDefault="009859CD" w:rsidP="005C1C99">
            <w:pPr>
              <w:widowControl w:val="0"/>
              <w:autoSpaceDE w:val="0"/>
              <w:autoSpaceDN w:val="0"/>
              <w:adjustRightInd w:val="0"/>
              <w:ind w:left="174"/>
            </w:pPr>
            <w:r>
              <w:t xml:space="preserve">$50,000,001 </w:t>
            </w:r>
            <w:r w:rsidR="0068738F">
              <w:t>-</w:t>
            </w:r>
            <w:r>
              <w:t xml:space="preserve"> $100,000,000</w:t>
            </w:r>
          </w:p>
        </w:tc>
        <w:tc>
          <w:tcPr>
            <w:tcW w:w="2547" w:type="dxa"/>
          </w:tcPr>
          <w:p w:rsidR="009859CD" w:rsidRDefault="009859CD" w:rsidP="005C1C99">
            <w:pPr>
              <w:widowControl w:val="0"/>
              <w:autoSpaceDE w:val="0"/>
              <w:autoSpaceDN w:val="0"/>
              <w:adjustRightInd w:val="0"/>
              <w:ind w:right="657"/>
              <w:jc w:val="right"/>
            </w:pPr>
            <w:r>
              <w:t>$100,000</w:t>
            </w:r>
          </w:p>
        </w:tc>
      </w:tr>
      <w:tr w:rsidR="009859CD" w:rsidTr="00117DAA">
        <w:tc>
          <w:tcPr>
            <w:tcW w:w="3666" w:type="dxa"/>
          </w:tcPr>
          <w:p w:rsidR="009859CD" w:rsidRDefault="009859CD" w:rsidP="005C1C99">
            <w:pPr>
              <w:widowControl w:val="0"/>
              <w:autoSpaceDE w:val="0"/>
              <w:autoSpaceDN w:val="0"/>
              <w:adjustRightInd w:val="0"/>
              <w:ind w:left="174"/>
            </w:pPr>
            <w:r>
              <w:t>Over $100,000,000</w:t>
            </w:r>
          </w:p>
        </w:tc>
        <w:tc>
          <w:tcPr>
            <w:tcW w:w="2547" w:type="dxa"/>
          </w:tcPr>
          <w:p w:rsidR="009859CD" w:rsidRDefault="009859CD" w:rsidP="005C1C99">
            <w:pPr>
              <w:widowControl w:val="0"/>
              <w:autoSpaceDE w:val="0"/>
              <w:autoSpaceDN w:val="0"/>
              <w:adjustRightInd w:val="0"/>
              <w:ind w:right="657"/>
              <w:jc w:val="right"/>
            </w:pPr>
            <w:r>
              <w:t>$150,000</w:t>
            </w:r>
          </w:p>
        </w:tc>
      </w:tr>
    </w:tbl>
    <w:p w:rsidR="009859CD" w:rsidRPr="002B5E71" w:rsidRDefault="009859CD" w:rsidP="002F5589">
      <w:pPr>
        <w:widowControl w:val="0"/>
        <w:autoSpaceDE w:val="0"/>
        <w:autoSpaceDN w:val="0"/>
        <w:adjustRightInd w:val="0"/>
      </w:pPr>
      <w:bookmarkStart w:id="0" w:name="_GoBack"/>
      <w:bookmarkEnd w:id="0"/>
    </w:p>
    <w:p w:rsidR="009859CD" w:rsidRPr="002B5E71" w:rsidRDefault="009859CD" w:rsidP="00117DAA">
      <w:pPr>
        <w:widowControl w:val="0"/>
        <w:autoSpaceDE w:val="0"/>
        <w:autoSpaceDN w:val="0"/>
        <w:adjustRightInd w:val="0"/>
        <w:ind w:left="1440" w:hanging="27"/>
      </w:pPr>
      <w:r w:rsidRPr="002B5E71">
        <w:t xml:space="preserve">The Director may require licensed mortgage brokers and mortgage bankers </w:t>
      </w:r>
      <w:r w:rsidR="00E7374A">
        <w:t xml:space="preserve">and registered exempt companies </w:t>
      </w:r>
      <w:r w:rsidRPr="002B5E71">
        <w:t xml:space="preserve">to file reports of </w:t>
      </w:r>
      <w:r w:rsidR="00E7374A">
        <w:t xml:space="preserve">Illinois </w:t>
      </w:r>
      <w:r w:rsidRPr="002B5E71">
        <w:t xml:space="preserve">mortgage loan volumes </w:t>
      </w:r>
      <w:r w:rsidR="00117DAA">
        <w:t xml:space="preserve">with </w:t>
      </w:r>
      <w:r w:rsidRPr="002B5E71">
        <w:t xml:space="preserve">the Director or </w:t>
      </w:r>
      <w:r w:rsidR="00FE4914">
        <w:t>NMLS</w:t>
      </w:r>
      <w:r w:rsidR="000E1C78">
        <w:t xml:space="preserve"> </w:t>
      </w:r>
      <w:r w:rsidRPr="002B5E71">
        <w:t xml:space="preserve">for purposes of determining </w:t>
      </w:r>
      <w:r w:rsidR="000E1C78">
        <w:t xml:space="preserve">that </w:t>
      </w:r>
      <w:r w:rsidR="00BE5F84">
        <w:t>the</w:t>
      </w:r>
      <w:r w:rsidR="000E1C78">
        <w:t xml:space="preserve"> bond is in an amount that complies with the scale in this subsection (b)</w:t>
      </w:r>
      <w:r w:rsidRPr="002B5E71">
        <w:t>.</w:t>
      </w:r>
      <w:r w:rsidR="00DF6E45">
        <w:t xml:space="preserve">  Based upon </w:t>
      </w:r>
      <w:r w:rsidR="00BE5F84">
        <w:t>these</w:t>
      </w:r>
      <w:r w:rsidR="00DF6E45">
        <w:t xml:space="preserve"> reports, the Director may cause licensed mortgage brokers and mortgage bankers and registered exempt companies to adjust the amount of </w:t>
      </w:r>
      <w:r w:rsidR="00BE5F84">
        <w:t>the</w:t>
      </w:r>
      <w:r w:rsidR="00DF6E45">
        <w:t xml:space="preserve"> bonds to an amount that complies with the scale in subsection (b).  </w:t>
      </w:r>
    </w:p>
    <w:p w:rsidR="009859CD" w:rsidRPr="002B5E71" w:rsidRDefault="009859CD" w:rsidP="009859CD">
      <w:pPr>
        <w:widowControl w:val="0"/>
        <w:autoSpaceDE w:val="0"/>
        <w:autoSpaceDN w:val="0"/>
        <w:adjustRightInd w:val="0"/>
      </w:pPr>
    </w:p>
    <w:p w:rsidR="00117DAA" w:rsidRDefault="009859CD" w:rsidP="00117DAA">
      <w:pPr>
        <w:widowControl w:val="0"/>
        <w:autoSpaceDE w:val="0"/>
        <w:autoSpaceDN w:val="0"/>
        <w:adjustRightInd w:val="0"/>
        <w:ind w:left="1440" w:hanging="720"/>
      </w:pPr>
      <w:r w:rsidRPr="002B5E71">
        <w:t>c)</w:t>
      </w:r>
      <w:r w:rsidRPr="002B5E71">
        <w:tab/>
        <w:t xml:space="preserve">Each </w:t>
      </w:r>
      <w:r w:rsidR="00DF6E45">
        <w:t xml:space="preserve">electronic surety </w:t>
      </w:r>
      <w:r w:rsidRPr="002B5E71">
        <w:t xml:space="preserve">bond required pursuant to Section 3-1 of the Act </w:t>
      </w:r>
      <w:r w:rsidR="00DF6E45">
        <w:t xml:space="preserve">and this Section </w:t>
      </w:r>
      <w:r w:rsidRPr="002B5E71">
        <w:t xml:space="preserve">shall be for a </w:t>
      </w:r>
      <w:r w:rsidR="00DF6E45">
        <w:t xml:space="preserve">perpetual </w:t>
      </w:r>
      <w:r w:rsidRPr="002B5E71">
        <w:t>term</w:t>
      </w:r>
      <w:r w:rsidR="00DF6E45">
        <w:t>.</w:t>
      </w:r>
      <w:r w:rsidRPr="002B5E71">
        <w:t xml:space="preserve"> </w:t>
      </w:r>
    </w:p>
    <w:p w:rsidR="004475E3" w:rsidRDefault="004475E3" w:rsidP="004475E3">
      <w:pPr>
        <w:widowControl w:val="0"/>
        <w:autoSpaceDE w:val="0"/>
        <w:autoSpaceDN w:val="0"/>
        <w:adjustRightInd w:val="0"/>
      </w:pPr>
    </w:p>
    <w:p w:rsidR="009859CD" w:rsidRPr="00D55B37" w:rsidRDefault="00FE4914">
      <w:pPr>
        <w:pStyle w:val="JCARSourceNote"/>
        <w:ind w:left="720"/>
      </w:pPr>
      <w:r>
        <w:lastRenderedPageBreak/>
        <w:t xml:space="preserve">(Source:  Amended at 43 Ill. Reg. </w:t>
      </w:r>
      <w:r w:rsidR="00701B88">
        <w:t>5272</w:t>
      </w:r>
      <w:r>
        <w:t xml:space="preserve">, effective </w:t>
      </w:r>
      <w:r w:rsidR="00701B88">
        <w:t>May 10, 2019</w:t>
      </w:r>
      <w:r>
        <w:t>)</w:t>
      </w:r>
    </w:p>
    <w:sectPr w:rsidR="009859CD" w:rsidRPr="00D55B37" w:rsidSect="001B247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247A"/>
    <w:rsid w:val="000E1C78"/>
    <w:rsid w:val="000F7BF9"/>
    <w:rsid w:val="00117DAA"/>
    <w:rsid w:val="001B247A"/>
    <w:rsid w:val="00293FAD"/>
    <w:rsid w:val="002F5589"/>
    <w:rsid w:val="00333843"/>
    <w:rsid w:val="003907E4"/>
    <w:rsid w:val="004475E3"/>
    <w:rsid w:val="00500635"/>
    <w:rsid w:val="005C1C99"/>
    <w:rsid w:val="005C3366"/>
    <w:rsid w:val="005F5271"/>
    <w:rsid w:val="0068738F"/>
    <w:rsid w:val="00701B88"/>
    <w:rsid w:val="00822778"/>
    <w:rsid w:val="00887D88"/>
    <w:rsid w:val="008B0BC2"/>
    <w:rsid w:val="008D5B9D"/>
    <w:rsid w:val="00927984"/>
    <w:rsid w:val="009859CD"/>
    <w:rsid w:val="0099154D"/>
    <w:rsid w:val="009B08E2"/>
    <w:rsid w:val="009D21D8"/>
    <w:rsid w:val="00A343B3"/>
    <w:rsid w:val="00A63447"/>
    <w:rsid w:val="00BE5F84"/>
    <w:rsid w:val="00D94AFE"/>
    <w:rsid w:val="00DA5C43"/>
    <w:rsid w:val="00DC059B"/>
    <w:rsid w:val="00DC6ED1"/>
    <w:rsid w:val="00DF6E45"/>
    <w:rsid w:val="00E7374A"/>
    <w:rsid w:val="00ED36F2"/>
    <w:rsid w:val="00F459BD"/>
    <w:rsid w:val="00F842BC"/>
    <w:rsid w:val="00FE4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3A9EE13-65D7-4978-AE2C-66825EF1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47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1050</vt:lpstr>
    </vt:vector>
  </TitlesOfParts>
  <Company>State of Illinois</Company>
  <LinksUpToDate>false</LinksUpToDate>
  <CharactersWithSpaces>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1050</dc:title>
  <dc:subject/>
  <dc:creator>Illinois General Assembly</dc:creator>
  <cp:keywords/>
  <dc:description/>
  <cp:lastModifiedBy>Lane, Arlene L.</cp:lastModifiedBy>
  <cp:revision>5</cp:revision>
  <dcterms:created xsi:type="dcterms:W3CDTF">2019-04-02T19:52:00Z</dcterms:created>
  <dcterms:modified xsi:type="dcterms:W3CDTF">2019-05-07T17:22:00Z</dcterms:modified>
</cp:coreProperties>
</file>