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9C" w:rsidRDefault="00B46D9C" w:rsidP="00B46D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D9C" w:rsidRDefault="00B46D9C" w:rsidP="00B46D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1075.1265  Determination of the Qualification and Condition of an Out-of-State Acquisition</w:t>
      </w:r>
      <w:r>
        <w:t xml:space="preserve"> </w:t>
      </w:r>
    </w:p>
    <w:p w:rsidR="00B46D9C" w:rsidRDefault="00B46D9C" w:rsidP="00B46D9C">
      <w:pPr>
        <w:widowControl w:val="0"/>
        <w:autoSpaceDE w:val="0"/>
        <w:autoSpaceDN w:val="0"/>
        <w:adjustRightInd w:val="0"/>
      </w:pPr>
    </w:p>
    <w:p w:rsidR="00B46D9C" w:rsidRDefault="00B46D9C" w:rsidP="00B46D9C">
      <w:pPr>
        <w:widowControl w:val="0"/>
        <w:autoSpaceDE w:val="0"/>
        <w:autoSpaceDN w:val="0"/>
        <w:adjustRightInd w:val="0"/>
      </w:pPr>
      <w:r>
        <w:t xml:space="preserve">When requested, the </w:t>
      </w:r>
      <w:r w:rsidR="00A64EA9">
        <w:t xml:space="preserve">Director </w:t>
      </w:r>
      <w:r>
        <w:t xml:space="preserve">shall review the laws of any state to determine whether the laws of that state expressly authorize an Illinois savings bank holding company to acquire a savings bank or savings bank holding company in that state. The </w:t>
      </w:r>
      <w:r w:rsidR="00A64EA9">
        <w:t>Director</w:t>
      </w:r>
      <w:r w:rsidR="00D04B96">
        <w:t xml:space="preserve"> </w:t>
      </w:r>
      <w:r>
        <w:t xml:space="preserve"> shall issue a finding that such other state law either does or does not provide qualifications and conditions </w:t>
      </w:r>
      <w:r w:rsidR="00D04B96">
        <w:t>that</w:t>
      </w:r>
      <w:r>
        <w:t xml:space="preserve"> are unduly restrictive for the acquisition when compared to those imposed by the laws of Illinois. </w:t>
      </w:r>
    </w:p>
    <w:p w:rsidR="004076CA" w:rsidRDefault="004076CA" w:rsidP="00B46D9C">
      <w:pPr>
        <w:widowControl w:val="0"/>
        <w:autoSpaceDE w:val="0"/>
        <w:autoSpaceDN w:val="0"/>
        <w:adjustRightInd w:val="0"/>
      </w:pPr>
    </w:p>
    <w:p w:rsidR="004076CA" w:rsidRPr="00D55B37" w:rsidRDefault="004076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6589A">
        <w:t>19068</w:t>
      </w:r>
      <w:r w:rsidRPr="00D55B37">
        <w:t xml:space="preserve">, effective </w:t>
      </w:r>
      <w:r w:rsidR="0086589A">
        <w:t>December 1, 2006</w:t>
      </w:r>
      <w:r w:rsidRPr="00D55B37">
        <w:t>)</w:t>
      </w:r>
    </w:p>
    <w:sectPr w:rsidR="004076CA" w:rsidRPr="00D55B37" w:rsidSect="00B46D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D9C"/>
    <w:rsid w:val="000F7BDF"/>
    <w:rsid w:val="004076CA"/>
    <w:rsid w:val="00473106"/>
    <w:rsid w:val="005C3366"/>
    <w:rsid w:val="0086589A"/>
    <w:rsid w:val="00A64EA9"/>
    <w:rsid w:val="00B46D9C"/>
    <w:rsid w:val="00D04B96"/>
    <w:rsid w:val="00F4142D"/>
    <w:rsid w:val="00F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7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