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83" w:rsidRDefault="00D31483" w:rsidP="00D314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1483" w:rsidRDefault="00D31483" w:rsidP="00D31483">
      <w:pPr>
        <w:widowControl w:val="0"/>
        <w:autoSpaceDE w:val="0"/>
        <w:autoSpaceDN w:val="0"/>
        <w:adjustRightInd w:val="0"/>
      </w:pPr>
      <w:r>
        <w:t>AUTHORITY:  Implemented and authorized by Section 22 of The Fireworks Regulation Act of Illinois (Ill. Rev. Stat. 1985, Ch. 127</w:t>
      </w:r>
      <w:r w:rsidR="00472173">
        <w:t>½</w:t>
      </w:r>
      <w:r>
        <w:t xml:space="preserve">, par. 122). </w:t>
      </w:r>
    </w:p>
    <w:sectPr w:rsidR="00D31483" w:rsidSect="00D314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1483"/>
    <w:rsid w:val="001931E0"/>
    <w:rsid w:val="00303DE1"/>
    <w:rsid w:val="00472173"/>
    <w:rsid w:val="005C3366"/>
    <w:rsid w:val="00886C75"/>
    <w:rsid w:val="00D3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Implemented and authorized by Section 22 of The Fireworks Regulation Act of Illinois (Ill</vt:lpstr>
    </vt:vector>
  </TitlesOfParts>
  <Company>General Assembly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Implemented and authorized by Section 22 of The Fireworks Regulation Act of Illinois (Ill</dc:title>
  <dc:subject/>
  <dc:creator>Illinois General Assembly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