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5565" w14:textId="67B33B87" w:rsidR="00DC0B67" w:rsidRDefault="00DC0B67" w:rsidP="00DC0B67">
      <w:pPr>
        <w:widowControl w:val="0"/>
        <w:autoSpaceDE w:val="0"/>
        <w:autoSpaceDN w:val="0"/>
        <w:adjustRightInd w:val="0"/>
      </w:pPr>
    </w:p>
    <w:p w14:paraId="1313B05A" w14:textId="330B7796" w:rsidR="00DC0B67" w:rsidRPr="00AA3C01" w:rsidRDefault="00DC0B67" w:rsidP="00DC0B6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14</w:t>
      </w:r>
      <w:r w:rsidR="00F71593">
        <w:rPr>
          <w:b/>
          <w:bCs/>
        </w:rPr>
        <w:t>1</w:t>
      </w:r>
      <w:r>
        <w:rPr>
          <w:b/>
          <w:bCs/>
        </w:rPr>
        <w:t xml:space="preserve">.210  Invalidation of a </w:t>
      </w:r>
      <w:r w:rsidR="00AA3C01">
        <w:rPr>
          <w:b/>
          <w:bCs/>
        </w:rPr>
        <w:t>Candidate's</w:t>
      </w:r>
      <w:r>
        <w:rPr>
          <w:b/>
          <w:bCs/>
        </w:rPr>
        <w:t xml:space="preserve"> State </w:t>
      </w:r>
      <w:r w:rsidR="00AA3C01">
        <w:rPr>
          <w:b/>
          <w:bCs/>
        </w:rPr>
        <w:t xml:space="preserve">Written or Practical </w:t>
      </w:r>
      <w:r>
        <w:rPr>
          <w:b/>
          <w:bCs/>
        </w:rPr>
        <w:t xml:space="preserve">Examination </w:t>
      </w:r>
      <w:r w:rsidR="00AA3C01">
        <w:rPr>
          <w:b/>
          <w:bCs/>
        </w:rPr>
        <w:t>Scores</w:t>
      </w:r>
      <w:r>
        <w:t xml:space="preserve"> </w:t>
      </w:r>
    </w:p>
    <w:p w14:paraId="75612A0F" w14:textId="77777777" w:rsidR="00DC0B67" w:rsidRDefault="00DC0B67" w:rsidP="00DC0B67">
      <w:pPr>
        <w:widowControl w:val="0"/>
        <w:autoSpaceDE w:val="0"/>
        <w:autoSpaceDN w:val="0"/>
        <w:adjustRightInd w:val="0"/>
      </w:pPr>
    </w:p>
    <w:p w14:paraId="2B977896" w14:textId="1DD777EF" w:rsidR="00AA3C01" w:rsidRDefault="00DC0B67" w:rsidP="00AA3C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C3E80">
        <w:t>During</w:t>
      </w:r>
      <w:r w:rsidR="00AA3C01" w:rsidRPr="00BA4881">
        <w:t xml:space="preserve"> a State Written </w:t>
      </w:r>
      <w:r w:rsidR="00AA3C01" w:rsidRPr="009B14C4">
        <w:t>Examination</w:t>
      </w:r>
      <w:r w:rsidR="00AA3C01">
        <w:t xml:space="preserve">, </w:t>
      </w:r>
      <w:r w:rsidR="002140EC">
        <w:t xml:space="preserve">if </w:t>
      </w:r>
      <w:r w:rsidR="00AA3C01">
        <w:t>the</w:t>
      </w:r>
      <w:r w:rsidR="002140EC">
        <w:t xml:space="preserve"> vendor finds evidence of a candidate cheating or violating any requirements of th</w:t>
      </w:r>
      <w:r w:rsidR="006C19B8">
        <w:t>is</w:t>
      </w:r>
      <w:r w:rsidR="002140EC">
        <w:t xml:space="preserve"> Part, the vendor</w:t>
      </w:r>
      <w:r>
        <w:t xml:space="preserve"> shall immediately </w:t>
      </w:r>
      <w:r w:rsidR="002140EC">
        <w:t xml:space="preserve">end the candidate's examination and </w:t>
      </w:r>
      <w:r>
        <w:t xml:space="preserve">confiscate any unauthorized </w:t>
      </w:r>
      <w:r w:rsidR="00833DFF">
        <w:t>note</w:t>
      </w:r>
      <w:r>
        <w:t xml:space="preserve"> or reference materials</w:t>
      </w:r>
      <w:r w:rsidR="00E619EF">
        <w:t>.  Evidence of cheating may include the following or similar activities:</w:t>
      </w:r>
    </w:p>
    <w:p w14:paraId="6CF9E523" w14:textId="77777777" w:rsidR="00AA3C01" w:rsidRDefault="00AA3C01" w:rsidP="00845359">
      <w:pPr>
        <w:widowControl w:val="0"/>
        <w:autoSpaceDE w:val="0"/>
        <w:autoSpaceDN w:val="0"/>
        <w:adjustRightInd w:val="0"/>
      </w:pPr>
    </w:p>
    <w:p w14:paraId="49D856F7" w14:textId="77777777" w:rsidR="00AA3C01" w:rsidRPr="00BA4881" w:rsidRDefault="00AA3C01" w:rsidP="00AA3C01">
      <w:pPr>
        <w:ind w:left="2160" w:hanging="720"/>
      </w:pPr>
      <w:r>
        <w:t>1)</w:t>
      </w:r>
      <w:r>
        <w:tab/>
      </w:r>
      <w:r w:rsidRPr="009B14C4">
        <w:t>L</w:t>
      </w:r>
      <w:r w:rsidRPr="00BA4881">
        <w:t>ooking at unauthorized notes o</w:t>
      </w:r>
      <w:r w:rsidRPr="009B14C4">
        <w:t>r</w:t>
      </w:r>
      <w:r w:rsidRPr="00BA4881">
        <w:t xml:space="preserve"> reference materials</w:t>
      </w:r>
      <w:r w:rsidRPr="009B14C4">
        <w:t>;</w:t>
      </w:r>
    </w:p>
    <w:p w14:paraId="0B8D2743" w14:textId="77777777" w:rsidR="00AA3C01" w:rsidRPr="00BA4881" w:rsidRDefault="00AA3C01" w:rsidP="00845359"/>
    <w:p w14:paraId="4127ED89" w14:textId="396991BC" w:rsidR="00AA3C01" w:rsidRPr="00BA4881" w:rsidRDefault="00AA3C01" w:rsidP="00AA3C01">
      <w:pPr>
        <w:ind w:left="2160" w:hanging="720"/>
      </w:pPr>
      <w:r w:rsidRPr="00BA4881">
        <w:t>2)</w:t>
      </w:r>
      <w:r>
        <w:tab/>
      </w:r>
      <w:r w:rsidRPr="009B14C4">
        <w:t>O</w:t>
      </w:r>
      <w:r w:rsidRPr="00BA4881">
        <w:t>bviously looking directly at another</w:t>
      </w:r>
      <w:r w:rsidR="00E619EF">
        <w:t xml:space="preserve"> candidate's answers</w:t>
      </w:r>
      <w:r w:rsidRPr="009B14C4">
        <w:t>;</w:t>
      </w:r>
    </w:p>
    <w:p w14:paraId="33D08373" w14:textId="77777777" w:rsidR="00AA3C01" w:rsidRPr="00BA4881" w:rsidRDefault="00AA3C01" w:rsidP="00845359"/>
    <w:p w14:paraId="614FB515" w14:textId="77777777" w:rsidR="00AA3C01" w:rsidRPr="00BA4881" w:rsidRDefault="00AA3C01" w:rsidP="00AA3C01">
      <w:pPr>
        <w:ind w:left="1440"/>
      </w:pPr>
      <w:r w:rsidRPr="00BA4881">
        <w:t>3)</w:t>
      </w:r>
      <w:r>
        <w:tab/>
      </w:r>
      <w:r w:rsidRPr="009B14C4">
        <w:t>T</w:t>
      </w:r>
      <w:r w:rsidRPr="00BA4881">
        <w:t>alking during the examination</w:t>
      </w:r>
      <w:r w:rsidRPr="009B14C4">
        <w:t>;</w:t>
      </w:r>
    </w:p>
    <w:p w14:paraId="49E2CC75" w14:textId="77777777" w:rsidR="00AA3C01" w:rsidRPr="00BA4881" w:rsidRDefault="00AA3C01" w:rsidP="00845359"/>
    <w:p w14:paraId="1CCA7893" w14:textId="77777777" w:rsidR="00AA3C01" w:rsidRPr="00BA4881" w:rsidRDefault="00AA3C01" w:rsidP="00AA3C01">
      <w:pPr>
        <w:ind w:left="1440"/>
      </w:pPr>
      <w:r w:rsidRPr="00BA4881">
        <w:t>4)</w:t>
      </w:r>
      <w:r>
        <w:tab/>
      </w:r>
      <w:r w:rsidRPr="009B14C4">
        <w:t>S</w:t>
      </w:r>
      <w:r w:rsidRPr="00BA4881">
        <w:t>uspicious behavior relevant to alcohol or drug abuse</w:t>
      </w:r>
      <w:r w:rsidRPr="009B14C4">
        <w:t>; or</w:t>
      </w:r>
    </w:p>
    <w:p w14:paraId="1E80719A" w14:textId="77777777" w:rsidR="00AA3C01" w:rsidRPr="00BA4881" w:rsidRDefault="00AA3C01" w:rsidP="00845359"/>
    <w:p w14:paraId="4092DE63" w14:textId="16B26CCB" w:rsidR="00DC0B67" w:rsidRDefault="00AA3C01" w:rsidP="00AA3C01">
      <w:pPr>
        <w:widowControl w:val="0"/>
        <w:autoSpaceDE w:val="0"/>
        <w:autoSpaceDN w:val="0"/>
        <w:adjustRightInd w:val="0"/>
        <w:ind w:left="2160" w:hanging="720"/>
      </w:pPr>
      <w:r w:rsidRPr="00BA4881">
        <w:t>5)</w:t>
      </w:r>
      <w:r>
        <w:tab/>
      </w:r>
      <w:r w:rsidRPr="009B14C4">
        <w:t>F</w:t>
      </w:r>
      <w:r w:rsidRPr="00BA4881">
        <w:t>ail</w:t>
      </w:r>
      <w:r w:rsidRPr="009B14C4">
        <w:t>ing</w:t>
      </w:r>
      <w:r w:rsidRPr="00BA4881">
        <w:t xml:space="preserve"> to follow the </w:t>
      </w:r>
      <w:r w:rsidR="00E619EF">
        <w:t>vendor's</w:t>
      </w:r>
      <w:r w:rsidRPr="00BA4881">
        <w:t xml:space="preserve"> instructions prior to </w:t>
      </w:r>
      <w:r w:rsidR="00E619EF">
        <w:t xml:space="preserve">or during </w:t>
      </w:r>
      <w:r w:rsidRPr="00BA4881">
        <w:t>the examination</w:t>
      </w:r>
      <w:r w:rsidRPr="009B14C4">
        <w:t>.</w:t>
      </w:r>
    </w:p>
    <w:p w14:paraId="5D6A53B4" w14:textId="77777777" w:rsidR="00DC0B67" w:rsidRDefault="00DC0B67" w:rsidP="00845359">
      <w:pPr>
        <w:widowControl w:val="0"/>
        <w:autoSpaceDE w:val="0"/>
        <w:autoSpaceDN w:val="0"/>
        <w:adjustRightInd w:val="0"/>
      </w:pPr>
    </w:p>
    <w:p w14:paraId="531A1521" w14:textId="2D070FDD" w:rsidR="00DC0B67" w:rsidRDefault="00AA3C01" w:rsidP="00AA3C01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DC0B67">
        <w:t>)</w:t>
      </w:r>
      <w:r w:rsidR="00DC0B67">
        <w:tab/>
        <w:t xml:space="preserve">The </w:t>
      </w:r>
      <w:r w:rsidR="006C19B8">
        <w:t>vendor</w:t>
      </w:r>
      <w:r w:rsidR="00DC0B67">
        <w:t xml:space="preserve"> shall submit a written </w:t>
      </w:r>
      <w:r>
        <w:t>report</w:t>
      </w:r>
      <w:r w:rsidR="00DC0B67">
        <w:t xml:space="preserve"> of the facts involved in the </w:t>
      </w:r>
      <w:r w:rsidR="00753EC3">
        <w:t>incident and include</w:t>
      </w:r>
      <w:r w:rsidR="00DC0B67">
        <w:t xml:space="preserve"> any confiscated materials to the </w:t>
      </w:r>
      <w:r w:rsidR="00753EC3">
        <w:t>Office</w:t>
      </w:r>
      <w:r w:rsidR="00DC0B67">
        <w:t xml:space="preserve">. </w:t>
      </w:r>
    </w:p>
    <w:p w14:paraId="2AA96CAE" w14:textId="77777777" w:rsidR="00DC0B67" w:rsidRDefault="00DC0B67" w:rsidP="00845359">
      <w:pPr>
        <w:widowControl w:val="0"/>
        <w:autoSpaceDE w:val="0"/>
        <w:autoSpaceDN w:val="0"/>
        <w:adjustRightInd w:val="0"/>
      </w:pPr>
    </w:p>
    <w:p w14:paraId="40BB12F2" w14:textId="46567790" w:rsidR="00DC0B67" w:rsidRDefault="00AA3C01" w:rsidP="00DC0B6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C0B67">
        <w:t>)</w:t>
      </w:r>
      <w:r w:rsidR="00DC0B67">
        <w:tab/>
        <w:t xml:space="preserve">Confiscated materials </w:t>
      </w:r>
      <w:r>
        <w:t>shall</w:t>
      </w:r>
      <w:r w:rsidR="00DC0B67">
        <w:t xml:space="preserve"> be retained by the </w:t>
      </w:r>
      <w:r>
        <w:t>Division</w:t>
      </w:r>
      <w:r w:rsidR="00DC0B67">
        <w:t xml:space="preserve">. </w:t>
      </w:r>
    </w:p>
    <w:p w14:paraId="63D2AF8B" w14:textId="77777777" w:rsidR="00DC0B67" w:rsidRDefault="00DC0B67" w:rsidP="00845359">
      <w:pPr>
        <w:widowControl w:val="0"/>
        <w:autoSpaceDE w:val="0"/>
        <w:autoSpaceDN w:val="0"/>
        <w:adjustRightInd w:val="0"/>
      </w:pPr>
    </w:p>
    <w:p w14:paraId="24A55B56" w14:textId="7305D4EE" w:rsidR="00DC0B67" w:rsidRDefault="00AA3C01" w:rsidP="00DC0B6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DC0B67">
        <w:t>)</w:t>
      </w:r>
      <w:r w:rsidR="00DC0B67">
        <w:tab/>
        <w:t xml:space="preserve">When the </w:t>
      </w:r>
      <w:r>
        <w:t>Division</w:t>
      </w:r>
      <w:r w:rsidR="00DC0B67">
        <w:t xml:space="preserve"> determines that </w:t>
      </w:r>
      <w:r w:rsidR="00753EC3">
        <w:t xml:space="preserve">the </w:t>
      </w:r>
      <w:r w:rsidR="00DC0B67">
        <w:t xml:space="preserve">evidence </w:t>
      </w:r>
      <w:r w:rsidR="00753EC3">
        <w:t>presented by the vendor is credible, the candidate's</w:t>
      </w:r>
      <w:r w:rsidR="00DC0B67">
        <w:t xml:space="preserve"> State </w:t>
      </w:r>
      <w:r>
        <w:t>Written Examination</w:t>
      </w:r>
      <w:r w:rsidR="00753EC3">
        <w:t xml:space="preserve"> score shall be invalidated and </w:t>
      </w:r>
      <w:r w:rsidR="00753EC3" w:rsidRPr="009B14C4">
        <w:t xml:space="preserve">a written notification shall be sent to the candidate and employing </w:t>
      </w:r>
      <w:r w:rsidR="006C19B8">
        <w:t>c</w:t>
      </w:r>
      <w:r w:rsidR="00753EC3" w:rsidRPr="009B14C4">
        <w:t>hief, which shall include</w:t>
      </w:r>
      <w:r w:rsidR="00DC0B67">
        <w:t xml:space="preserve">: </w:t>
      </w:r>
    </w:p>
    <w:p w14:paraId="76ADC509" w14:textId="77777777" w:rsidR="00DC0B67" w:rsidRDefault="00DC0B67" w:rsidP="00845359">
      <w:pPr>
        <w:widowControl w:val="0"/>
        <w:autoSpaceDE w:val="0"/>
        <w:autoSpaceDN w:val="0"/>
        <w:adjustRightInd w:val="0"/>
      </w:pPr>
    </w:p>
    <w:p w14:paraId="036CDF76" w14:textId="41C6A3CD" w:rsidR="00DC0B67" w:rsidRDefault="00DC0B67" w:rsidP="00DC0B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A3C01">
        <w:t>A description of the incident;</w:t>
      </w:r>
      <w:r>
        <w:t xml:space="preserve"> </w:t>
      </w:r>
    </w:p>
    <w:p w14:paraId="02C568A5" w14:textId="77777777" w:rsidR="00DC0B67" w:rsidRDefault="00DC0B67" w:rsidP="00845359">
      <w:pPr>
        <w:widowControl w:val="0"/>
        <w:autoSpaceDE w:val="0"/>
        <w:autoSpaceDN w:val="0"/>
        <w:adjustRightInd w:val="0"/>
      </w:pPr>
    </w:p>
    <w:p w14:paraId="6A4C2CF3" w14:textId="7C86B454" w:rsidR="00AA3C01" w:rsidRDefault="00DC0B67" w:rsidP="00DC0B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53EC3">
        <w:t>N</w:t>
      </w:r>
      <w:r w:rsidR="00AA3C01" w:rsidRPr="009B14C4">
        <w:t xml:space="preserve">otification that the </w:t>
      </w:r>
      <w:r w:rsidR="00753EC3">
        <w:t xml:space="preserve">State Written Examination </w:t>
      </w:r>
      <w:r w:rsidR="00AA3C01" w:rsidRPr="009B14C4">
        <w:t>score w</w:t>
      </w:r>
      <w:r w:rsidR="00753EC3">
        <w:t>as</w:t>
      </w:r>
      <w:r w:rsidR="00AA3C01" w:rsidRPr="009B14C4">
        <w:t xml:space="preserve"> invalidated; and</w:t>
      </w:r>
    </w:p>
    <w:p w14:paraId="07654A2A" w14:textId="77777777" w:rsidR="00AA3C01" w:rsidRDefault="00AA3C01" w:rsidP="00845359">
      <w:pPr>
        <w:widowControl w:val="0"/>
        <w:autoSpaceDE w:val="0"/>
        <w:autoSpaceDN w:val="0"/>
        <w:adjustRightInd w:val="0"/>
      </w:pPr>
    </w:p>
    <w:p w14:paraId="53DAD63E" w14:textId="77777777" w:rsidR="00AA3C01" w:rsidRPr="009B14C4" w:rsidRDefault="00AA3C01" w:rsidP="00AA3C01">
      <w:pPr>
        <w:ind w:left="2160" w:hanging="720"/>
      </w:pPr>
      <w:r>
        <w:t>3)</w:t>
      </w:r>
      <w:r>
        <w:tab/>
      </w:r>
      <w:r w:rsidRPr="009B14C4">
        <w:t>A notice that the candidate is not permitted to challenge a State Written Examination for 120 days.</w:t>
      </w:r>
    </w:p>
    <w:p w14:paraId="0D59F014" w14:textId="77777777" w:rsidR="00AA3C01" w:rsidRPr="00BA4881" w:rsidRDefault="00AA3C01" w:rsidP="00845359"/>
    <w:p w14:paraId="4E5BE3CA" w14:textId="3A0FF7D1" w:rsidR="00AA3C01" w:rsidRPr="00BA4881" w:rsidRDefault="00AA3C01" w:rsidP="00AA3C01">
      <w:pPr>
        <w:ind w:left="1440" w:hanging="720"/>
      </w:pPr>
      <w:bookmarkStart w:id="0" w:name="_Hlk87862247"/>
      <w:r w:rsidRPr="00BA4881">
        <w:t>e)</w:t>
      </w:r>
      <w:r>
        <w:tab/>
      </w:r>
      <w:r w:rsidR="00753EC3">
        <w:t>The Division will review training re</w:t>
      </w:r>
      <w:r w:rsidR="009E06B1">
        <w:t xml:space="preserve">cords of training facilities and fire service personnel. </w:t>
      </w:r>
      <w:r w:rsidRPr="00BA4881">
        <w:t xml:space="preserve">In the </w:t>
      </w:r>
      <w:r w:rsidR="009E06B1">
        <w:t>course</w:t>
      </w:r>
      <w:r w:rsidRPr="00BA4881">
        <w:t xml:space="preserve"> of </w:t>
      </w:r>
      <w:r w:rsidR="009E06B1">
        <w:t xml:space="preserve">reviewing </w:t>
      </w:r>
      <w:r w:rsidRPr="00BA4881">
        <w:t>training record</w:t>
      </w:r>
      <w:r w:rsidR="006C19B8">
        <w:t>s</w:t>
      </w:r>
      <w:r w:rsidRPr="00BA4881">
        <w:t xml:space="preserve">, </w:t>
      </w:r>
      <w:r w:rsidR="009E06B1">
        <w:t>a</w:t>
      </w:r>
      <w:r w:rsidRPr="00BA4881">
        <w:t xml:space="preserve"> candidate’s State Written or Practical Examination scores </w:t>
      </w:r>
      <w:r w:rsidRPr="009B14C4">
        <w:t xml:space="preserve">shall </w:t>
      </w:r>
      <w:r w:rsidRPr="00BA4881">
        <w:t xml:space="preserve">be invalidated </w:t>
      </w:r>
      <w:r w:rsidRPr="009B14C4">
        <w:t xml:space="preserve">for causes including: </w:t>
      </w:r>
    </w:p>
    <w:p w14:paraId="363EA2E3" w14:textId="77777777" w:rsidR="00AA3C01" w:rsidRPr="00BA4881" w:rsidRDefault="00AA3C01" w:rsidP="00845359"/>
    <w:p w14:paraId="1BFBA486" w14:textId="77777777" w:rsidR="00AA3C01" w:rsidRPr="00BA4881" w:rsidRDefault="00AA3C01" w:rsidP="00AA3C01">
      <w:pPr>
        <w:ind w:left="2160" w:hanging="720"/>
      </w:pPr>
      <w:r w:rsidRPr="00BA4881">
        <w:t>1)</w:t>
      </w:r>
      <w:r>
        <w:tab/>
      </w:r>
      <w:r w:rsidRPr="00BA4881">
        <w:t xml:space="preserve">A State Practical Examination score was awarded based </w:t>
      </w:r>
      <w:r w:rsidRPr="009B14C4">
        <w:t>up</w:t>
      </w:r>
      <w:r w:rsidRPr="00BA4881">
        <w:t>on erroneous documentation in</w:t>
      </w:r>
      <w:r w:rsidRPr="009B14C4">
        <w:t xml:space="preserve"> </w:t>
      </w:r>
      <w:r w:rsidRPr="00BA4881">
        <w:t xml:space="preserve">training records or </w:t>
      </w:r>
      <w:r w:rsidRPr="009B14C4">
        <w:t xml:space="preserve">erroneous documentation </w:t>
      </w:r>
      <w:r w:rsidRPr="00BA4881">
        <w:t>submitted to the Division</w:t>
      </w:r>
      <w:r w:rsidRPr="009B14C4">
        <w:t>;</w:t>
      </w:r>
    </w:p>
    <w:p w14:paraId="1FE37C27" w14:textId="77777777" w:rsidR="00AA3C01" w:rsidRPr="00BA4881" w:rsidRDefault="00AA3C01" w:rsidP="00845359"/>
    <w:p w14:paraId="751EA4FA" w14:textId="77777777" w:rsidR="00AA3C01" w:rsidRPr="009B14C4" w:rsidRDefault="00AA3C01" w:rsidP="00AA3C01">
      <w:pPr>
        <w:ind w:left="2160" w:hanging="720"/>
      </w:pPr>
      <w:r w:rsidRPr="00BA4881">
        <w:lastRenderedPageBreak/>
        <w:t>2)</w:t>
      </w:r>
      <w:r>
        <w:tab/>
      </w:r>
      <w:r w:rsidRPr="00BA4881">
        <w:t xml:space="preserve">The training facility fails to maintain or produce the required </w:t>
      </w:r>
      <w:r w:rsidRPr="009B14C4">
        <w:t xml:space="preserve">training </w:t>
      </w:r>
      <w:r w:rsidRPr="00BA4881">
        <w:t>records</w:t>
      </w:r>
      <w:r w:rsidRPr="009B14C4">
        <w:t>;</w:t>
      </w:r>
    </w:p>
    <w:p w14:paraId="33AC0F98" w14:textId="77777777" w:rsidR="00AA3C01" w:rsidRPr="00BA4881" w:rsidRDefault="00AA3C01" w:rsidP="00845359"/>
    <w:p w14:paraId="6ADF0EF6" w14:textId="4945889A" w:rsidR="00AA3C01" w:rsidRPr="00BA4881" w:rsidRDefault="00AA3C01" w:rsidP="00AA3C01">
      <w:pPr>
        <w:ind w:left="2160" w:hanging="720"/>
      </w:pPr>
      <w:r w:rsidRPr="00BA4881">
        <w:t>3)</w:t>
      </w:r>
      <w:r>
        <w:tab/>
      </w:r>
      <w:r w:rsidRPr="00BA4881">
        <w:t>The instructor was not qualified at the appropriate certification level</w:t>
      </w:r>
      <w:r w:rsidRPr="009B14C4">
        <w:t xml:space="preserve">; </w:t>
      </w:r>
    </w:p>
    <w:p w14:paraId="0A4DDDEB" w14:textId="77777777" w:rsidR="00AA3C01" w:rsidRPr="00BA4881" w:rsidRDefault="00AA3C01" w:rsidP="00845359"/>
    <w:p w14:paraId="68473F3C" w14:textId="3BAD4238" w:rsidR="00AA3C01" w:rsidRPr="00BA4881" w:rsidRDefault="00AA3C01" w:rsidP="009C4082">
      <w:pPr>
        <w:ind w:left="2160" w:hanging="720"/>
      </w:pPr>
      <w:r w:rsidRPr="00BA4881">
        <w:t>4)</w:t>
      </w:r>
      <w:r w:rsidR="00305801">
        <w:tab/>
      </w:r>
      <w:r w:rsidRPr="009B14C4">
        <w:t>The t</w:t>
      </w:r>
      <w:r w:rsidRPr="00BA4881">
        <w:t xml:space="preserve">raining facility </w:t>
      </w:r>
      <w:r w:rsidRPr="009B14C4">
        <w:t>did</w:t>
      </w:r>
      <w:r w:rsidRPr="00BA4881">
        <w:t xml:space="preserve"> not possess valid </w:t>
      </w:r>
      <w:r w:rsidR="006C19B8">
        <w:t xml:space="preserve">training </w:t>
      </w:r>
      <w:r w:rsidRPr="00BA4881">
        <w:t>facility or course approval</w:t>
      </w:r>
      <w:r w:rsidR="009E06B1">
        <w:t>; or</w:t>
      </w:r>
    </w:p>
    <w:p w14:paraId="21EFCB7C" w14:textId="5A2EAA34" w:rsidR="009E06B1" w:rsidRDefault="009E06B1" w:rsidP="00845359"/>
    <w:p w14:paraId="4B446621" w14:textId="362B4980" w:rsidR="009E06B1" w:rsidRDefault="009E06B1" w:rsidP="009E06B1">
      <w:pPr>
        <w:ind w:left="2160" w:hanging="720"/>
      </w:pPr>
      <w:r>
        <w:t>5)</w:t>
      </w:r>
      <w:r>
        <w:tab/>
        <w:t>Other factors indicating a failure to meet the required examination standards.</w:t>
      </w:r>
    </w:p>
    <w:p w14:paraId="48B2F593" w14:textId="77777777" w:rsidR="009E06B1" w:rsidRDefault="009E06B1" w:rsidP="00845359"/>
    <w:p w14:paraId="2CB956A3" w14:textId="79C7AAC0" w:rsidR="00AA3C01" w:rsidRPr="00BA4881" w:rsidRDefault="00AA3C01" w:rsidP="00AA3C01">
      <w:pPr>
        <w:ind w:left="1440" w:hanging="720"/>
      </w:pPr>
      <w:r w:rsidRPr="00BA4881">
        <w:t>f)</w:t>
      </w:r>
      <w:r w:rsidR="00305801">
        <w:tab/>
      </w:r>
      <w:r w:rsidRPr="00BA4881">
        <w:t>When the Division determines that evidence involved</w:t>
      </w:r>
      <w:r w:rsidRPr="009B14C4">
        <w:t xml:space="preserve"> requires</w:t>
      </w:r>
      <w:r w:rsidRPr="00BA4881">
        <w:t xml:space="preserve"> the invalidation of a candidate’s State </w:t>
      </w:r>
      <w:r w:rsidR="009E06B1">
        <w:t xml:space="preserve">Written or </w:t>
      </w:r>
      <w:r w:rsidRPr="00BA4881">
        <w:t xml:space="preserve">Practical Examination score, </w:t>
      </w:r>
      <w:r w:rsidR="009E06B1">
        <w:t xml:space="preserve">the candidate's State Written or Practical Examination score shall be invalidated and </w:t>
      </w:r>
      <w:r w:rsidRPr="009B14C4">
        <w:t xml:space="preserve">a written notification shall be sent to the candidate, the candidate’s employing </w:t>
      </w:r>
      <w:r w:rsidR="009E06B1">
        <w:t>c</w:t>
      </w:r>
      <w:r w:rsidRPr="009B14C4">
        <w:t>hief and training facility, if applicable,</w:t>
      </w:r>
      <w:r w:rsidR="009E06B1">
        <w:t xml:space="preserve"> which shall include</w:t>
      </w:r>
      <w:r w:rsidRPr="00BA4881">
        <w:t>:</w:t>
      </w:r>
    </w:p>
    <w:bookmarkEnd w:id="0"/>
    <w:p w14:paraId="5D3D65A8" w14:textId="77777777" w:rsidR="00AA3C01" w:rsidRPr="00BA4881" w:rsidRDefault="00AA3C01" w:rsidP="00845359"/>
    <w:p w14:paraId="1771D1F3" w14:textId="77777777" w:rsidR="00AA3C01" w:rsidRPr="00BA4881" w:rsidRDefault="00AA3C01" w:rsidP="00AA3C01">
      <w:pPr>
        <w:ind w:left="2160" w:hanging="720"/>
      </w:pPr>
      <w:r w:rsidRPr="00BA4881">
        <w:t>1)</w:t>
      </w:r>
      <w:r w:rsidR="00305801">
        <w:tab/>
      </w:r>
      <w:r w:rsidRPr="009B14C4">
        <w:t>Description of the incident; and</w:t>
      </w:r>
    </w:p>
    <w:p w14:paraId="04900AAF" w14:textId="77777777" w:rsidR="00AA3C01" w:rsidRPr="00BA4881" w:rsidRDefault="00AA3C01" w:rsidP="00845359"/>
    <w:p w14:paraId="24F67FEB" w14:textId="5E0C7CD6" w:rsidR="00AA3C01" w:rsidRPr="00BA4881" w:rsidRDefault="00AA3C01" w:rsidP="00AA3C01">
      <w:pPr>
        <w:ind w:left="2160" w:hanging="720"/>
      </w:pPr>
      <w:r w:rsidRPr="00BA4881">
        <w:t>2)</w:t>
      </w:r>
      <w:r w:rsidR="00305801">
        <w:tab/>
      </w:r>
      <w:r w:rsidR="009E06B1">
        <w:t>Notification that t</w:t>
      </w:r>
      <w:r w:rsidRPr="009B14C4">
        <w:t xml:space="preserve">he </w:t>
      </w:r>
      <w:r w:rsidR="009E06B1">
        <w:t xml:space="preserve">State Written or </w:t>
      </w:r>
      <w:r w:rsidRPr="009B14C4">
        <w:t xml:space="preserve">Practical Examination scores </w:t>
      </w:r>
      <w:r w:rsidR="009E06B1">
        <w:t xml:space="preserve">were </w:t>
      </w:r>
      <w:r w:rsidRPr="00BA4881">
        <w:t>invalidated</w:t>
      </w:r>
      <w:r w:rsidRPr="009B14C4">
        <w:t>.</w:t>
      </w:r>
    </w:p>
    <w:p w14:paraId="1F961185" w14:textId="77777777" w:rsidR="00DC0B67" w:rsidRDefault="00DC0B67" w:rsidP="00845359">
      <w:pPr>
        <w:widowControl w:val="0"/>
        <w:autoSpaceDE w:val="0"/>
        <w:autoSpaceDN w:val="0"/>
        <w:adjustRightInd w:val="0"/>
      </w:pPr>
    </w:p>
    <w:p w14:paraId="5B2AE92A" w14:textId="18C5C451" w:rsidR="00DC0B67" w:rsidRDefault="00305801" w:rsidP="00DC0B67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DC0B67">
        <w:t>)</w:t>
      </w:r>
      <w:r w:rsidR="00DC0B67">
        <w:tab/>
        <w:t xml:space="preserve">Any </w:t>
      </w:r>
      <w:r>
        <w:t>candidate</w:t>
      </w:r>
      <w:r w:rsidR="00DC0B67">
        <w:t xml:space="preserve"> whose </w:t>
      </w:r>
      <w:r w:rsidRPr="00BA4881">
        <w:t xml:space="preserve">State Written or Practical </w:t>
      </w:r>
      <w:r w:rsidRPr="009B14C4">
        <w:t>Examinations</w:t>
      </w:r>
      <w:r>
        <w:t xml:space="preserve"> </w:t>
      </w:r>
      <w:r w:rsidR="009E06B1">
        <w:t xml:space="preserve">scores </w:t>
      </w:r>
      <w:r>
        <w:t>are invalidated</w:t>
      </w:r>
      <w:r w:rsidR="00DC0B67">
        <w:t xml:space="preserve"> may request a hearing</w:t>
      </w:r>
      <w:r w:rsidR="00EC3E80">
        <w:t xml:space="preserve"> in accordance with</w:t>
      </w:r>
      <w:r w:rsidR="00DC0B67">
        <w:t xml:space="preserve"> </w:t>
      </w:r>
      <w:r w:rsidR="00EE6A61">
        <w:t>Section</w:t>
      </w:r>
      <w:r w:rsidR="00176AC0">
        <w:t xml:space="preserve"> 141.50</w:t>
      </w:r>
      <w:r w:rsidR="00DC0B67">
        <w:t xml:space="preserve">. </w:t>
      </w:r>
    </w:p>
    <w:p w14:paraId="0DD124F1" w14:textId="68D5A98C" w:rsidR="00420224" w:rsidRDefault="00420224" w:rsidP="00845359">
      <w:pPr>
        <w:widowControl w:val="0"/>
        <w:autoSpaceDE w:val="0"/>
        <w:autoSpaceDN w:val="0"/>
        <w:adjustRightInd w:val="0"/>
      </w:pPr>
    </w:p>
    <w:p w14:paraId="2B82F151" w14:textId="4D111817" w:rsidR="00420224" w:rsidRPr="00D55B37" w:rsidRDefault="00305801">
      <w:pPr>
        <w:pStyle w:val="JCARSourceNote"/>
        <w:ind w:left="720"/>
      </w:pPr>
      <w:r>
        <w:t>(Source:  Amended at 4</w:t>
      </w:r>
      <w:r w:rsidR="00D21B0E">
        <w:t>7</w:t>
      </w:r>
      <w:r>
        <w:t xml:space="preserve"> Ill. Reg. </w:t>
      </w:r>
      <w:r w:rsidR="00485C5F">
        <w:t>424</w:t>
      </w:r>
      <w:r>
        <w:t xml:space="preserve">, effective </w:t>
      </w:r>
      <w:r w:rsidR="00485C5F">
        <w:t>January 1, 2023</w:t>
      </w:r>
      <w:r>
        <w:t>)</w:t>
      </w:r>
    </w:p>
    <w:sectPr w:rsidR="00420224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FD25" w14:textId="77777777" w:rsidR="00242358" w:rsidRDefault="00242358">
      <w:r>
        <w:separator/>
      </w:r>
    </w:p>
  </w:endnote>
  <w:endnote w:type="continuationSeparator" w:id="0">
    <w:p w14:paraId="08E4E75F" w14:textId="77777777" w:rsidR="00242358" w:rsidRDefault="0024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7A01" w14:textId="77777777" w:rsidR="00242358" w:rsidRDefault="00242358">
      <w:r>
        <w:separator/>
      </w:r>
    </w:p>
  </w:footnote>
  <w:footnote w:type="continuationSeparator" w:id="0">
    <w:p w14:paraId="28518DFE" w14:textId="77777777" w:rsidR="00242358" w:rsidRDefault="0024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EE8"/>
    <w:rsid w:val="00001F1D"/>
    <w:rsid w:val="000134B9"/>
    <w:rsid w:val="00024521"/>
    <w:rsid w:val="0002588C"/>
    <w:rsid w:val="000300A2"/>
    <w:rsid w:val="00030823"/>
    <w:rsid w:val="00031AC4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5ED9"/>
    <w:rsid w:val="00156E58"/>
    <w:rsid w:val="001629DF"/>
    <w:rsid w:val="00163DB6"/>
    <w:rsid w:val="00167C0F"/>
    <w:rsid w:val="00171825"/>
    <w:rsid w:val="00176AC0"/>
    <w:rsid w:val="00190EE8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40EC"/>
    <w:rsid w:val="00216154"/>
    <w:rsid w:val="002209C0"/>
    <w:rsid w:val="00225354"/>
    <w:rsid w:val="0023173C"/>
    <w:rsid w:val="0023455C"/>
    <w:rsid w:val="00242358"/>
    <w:rsid w:val="00243CE9"/>
    <w:rsid w:val="00244A25"/>
    <w:rsid w:val="002524EC"/>
    <w:rsid w:val="002704E4"/>
    <w:rsid w:val="00270FBC"/>
    <w:rsid w:val="00282470"/>
    <w:rsid w:val="00290ABA"/>
    <w:rsid w:val="00297215"/>
    <w:rsid w:val="002A03BF"/>
    <w:rsid w:val="002A643F"/>
    <w:rsid w:val="002A71E8"/>
    <w:rsid w:val="002C13D1"/>
    <w:rsid w:val="002C3A69"/>
    <w:rsid w:val="002D2552"/>
    <w:rsid w:val="002D3C4D"/>
    <w:rsid w:val="002D74C6"/>
    <w:rsid w:val="002E4610"/>
    <w:rsid w:val="00305801"/>
    <w:rsid w:val="00314AF2"/>
    <w:rsid w:val="00336896"/>
    <w:rsid w:val="00337BB9"/>
    <w:rsid w:val="00337CEB"/>
    <w:rsid w:val="0034754A"/>
    <w:rsid w:val="00356831"/>
    <w:rsid w:val="003638F8"/>
    <w:rsid w:val="00363F2C"/>
    <w:rsid w:val="00367A2E"/>
    <w:rsid w:val="00370EEB"/>
    <w:rsid w:val="003732E6"/>
    <w:rsid w:val="00374780"/>
    <w:rsid w:val="00380301"/>
    <w:rsid w:val="00385640"/>
    <w:rsid w:val="00386FB2"/>
    <w:rsid w:val="00391714"/>
    <w:rsid w:val="00394002"/>
    <w:rsid w:val="003941DD"/>
    <w:rsid w:val="00397B7F"/>
    <w:rsid w:val="003A582A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452F"/>
    <w:rsid w:val="004166FA"/>
    <w:rsid w:val="00420224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5C5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674E"/>
    <w:rsid w:val="00547F00"/>
    <w:rsid w:val="00555A93"/>
    <w:rsid w:val="0056157E"/>
    <w:rsid w:val="00564DE6"/>
    <w:rsid w:val="0056501E"/>
    <w:rsid w:val="005672AF"/>
    <w:rsid w:val="00573770"/>
    <w:rsid w:val="00576975"/>
    <w:rsid w:val="00587526"/>
    <w:rsid w:val="005938E0"/>
    <w:rsid w:val="005948A7"/>
    <w:rsid w:val="005A206E"/>
    <w:rsid w:val="005F2E81"/>
    <w:rsid w:val="005F5C6B"/>
    <w:rsid w:val="00605618"/>
    <w:rsid w:val="006124C0"/>
    <w:rsid w:val="00621ED2"/>
    <w:rsid w:val="00625F7B"/>
    <w:rsid w:val="0065141B"/>
    <w:rsid w:val="00655388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C19B8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53EC3"/>
    <w:rsid w:val="00760A00"/>
    <w:rsid w:val="00774DB0"/>
    <w:rsid w:val="00780733"/>
    <w:rsid w:val="00782607"/>
    <w:rsid w:val="00786A0E"/>
    <w:rsid w:val="00787690"/>
    <w:rsid w:val="007943AC"/>
    <w:rsid w:val="007B4E64"/>
    <w:rsid w:val="007B6E80"/>
    <w:rsid w:val="007C1A01"/>
    <w:rsid w:val="007C2C55"/>
    <w:rsid w:val="007C3C4C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3DFF"/>
    <w:rsid w:val="0083405C"/>
    <w:rsid w:val="00837F88"/>
    <w:rsid w:val="00845359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3968"/>
    <w:rsid w:val="00944CB3"/>
    <w:rsid w:val="00944E3D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C4082"/>
    <w:rsid w:val="009E06B1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A3C01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C58D1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1E6B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1B0E"/>
    <w:rsid w:val="00D222EE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C0B6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434A4"/>
    <w:rsid w:val="00E4730B"/>
    <w:rsid w:val="00E55BEF"/>
    <w:rsid w:val="00E56345"/>
    <w:rsid w:val="00E5637C"/>
    <w:rsid w:val="00E619EF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C3E80"/>
    <w:rsid w:val="00ED563C"/>
    <w:rsid w:val="00ED690E"/>
    <w:rsid w:val="00EE6A61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593"/>
    <w:rsid w:val="00F7192E"/>
    <w:rsid w:val="00F81215"/>
    <w:rsid w:val="00F8452A"/>
    <w:rsid w:val="00FA19DB"/>
    <w:rsid w:val="00FB7D03"/>
    <w:rsid w:val="00FB7FBC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41A65"/>
  <w15:docId w15:val="{2FF1747A-5A35-4E2E-8803-7136CE2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DC0B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2022-12-22T16:52:00Z</dcterms:created>
  <dcterms:modified xsi:type="dcterms:W3CDTF">2023-01-13T19:41:00Z</dcterms:modified>
</cp:coreProperties>
</file>