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ED" w:rsidRPr="0058132D" w:rsidRDefault="00E631ED" w:rsidP="00E631ED">
      <w:pPr>
        <w:widowControl w:val="0"/>
        <w:autoSpaceDE w:val="0"/>
        <w:autoSpaceDN w:val="0"/>
        <w:adjustRightInd w:val="0"/>
      </w:pPr>
    </w:p>
    <w:p w:rsidR="00E631ED" w:rsidRPr="0058132D" w:rsidRDefault="00E631ED" w:rsidP="00E631ED">
      <w:pPr>
        <w:widowControl w:val="0"/>
        <w:autoSpaceDE w:val="0"/>
        <w:autoSpaceDN w:val="0"/>
        <w:adjustRightInd w:val="0"/>
      </w:pPr>
      <w:r w:rsidRPr="0058132D">
        <w:rPr>
          <w:b/>
          <w:bCs/>
        </w:rPr>
        <w:t xml:space="preserve">Section 1.8005 </w:t>
      </w:r>
      <w:r>
        <w:rPr>
          <w:b/>
          <w:bCs/>
        </w:rPr>
        <w:t xml:space="preserve"> </w:t>
      </w:r>
      <w:r w:rsidRPr="0058132D">
        <w:rPr>
          <w:b/>
          <w:bCs/>
        </w:rPr>
        <w:t>General</w:t>
      </w:r>
    </w:p>
    <w:p w:rsidR="00E631ED" w:rsidRPr="0058132D" w:rsidRDefault="00E631ED" w:rsidP="00E631ED">
      <w:pPr>
        <w:widowControl w:val="0"/>
        <w:autoSpaceDE w:val="0"/>
        <w:autoSpaceDN w:val="0"/>
        <w:adjustRightInd w:val="0"/>
      </w:pPr>
    </w:p>
    <w:p w:rsidR="00E631ED" w:rsidRPr="0058132D" w:rsidRDefault="00E631ED" w:rsidP="00E631ED">
      <w:pPr>
        <w:widowControl w:val="0"/>
        <w:autoSpaceDE w:val="0"/>
        <w:autoSpaceDN w:val="0"/>
        <w:adjustRightInd w:val="0"/>
      </w:pPr>
      <w:r w:rsidRPr="0058132D">
        <w:rPr>
          <w:i/>
        </w:rPr>
        <w:t>T</w:t>
      </w:r>
      <w:r w:rsidRPr="0058132D">
        <w:rPr>
          <w:i/>
          <w:iCs/>
        </w:rPr>
        <w:t>he Chief Procurement Officer shall adopt administrative rules, including emergency rules, to establish a procurement process to select a successor private manager if a private management agreement has been terminated.</w:t>
      </w:r>
      <w:r w:rsidRPr="0058132D">
        <w:rPr>
          <w:iCs/>
        </w:rPr>
        <w:t xml:space="preserve"> [20 ILCS 1605</w:t>
      </w:r>
      <w:r w:rsidR="001503EC">
        <w:rPr>
          <w:iCs/>
        </w:rPr>
        <w:t>/9.1</w:t>
      </w:r>
      <w:r w:rsidRPr="0058132D">
        <w:rPr>
          <w:iCs/>
        </w:rPr>
        <w:t>(o)]</w:t>
      </w:r>
    </w:p>
    <w:p w:rsidR="001C71C2" w:rsidRDefault="001C71C2" w:rsidP="0057304F"/>
    <w:p w:rsidR="00E631ED" w:rsidRPr="0057304F" w:rsidRDefault="00E631ED" w:rsidP="00E631ED">
      <w:pPr>
        <w:ind w:firstLine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534757">
        <w:t>16391</w:t>
      </w:r>
      <w:r w:rsidRPr="00D55B37">
        <w:t xml:space="preserve">, effective </w:t>
      </w:r>
      <w:bookmarkStart w:id="0" w:name="_GoBack"/>
      <w:r w:rsidR="00534757">
        <w:t>November 1, 2012</w:t>
      </w:r>
      <w:bookmarkEnd w:id="0"/>
      <w:r w:rsidRPr="00D55B37">
        <w:t>)</w:t>
      </w:r>
    </w:p>
    <w:sectPr w:rsidR="00E631ED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49" w:rsidRDefault="001F7C49">
      <w:r>
        <w:separator/>
      </w:r>
    </w:p>
  </w:endnote>
  <w:endnote w:type="continuationSeparator" w:id="0">
    <w:p w:rsidR="001F7C49" w:rsidRDefault="001F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49" w:rsidRDefault="001F7C49">
      <w:r>
        <w:separator/>
      </w:r>
    </w:p>
  </w:footnote>
  <w:footnote w:type="continuationSeparator" w:id="0">
    <w:p w:rsidR="001F7C49" w:rsidRDefault="001F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78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0B02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3EC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74B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1F7C49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7780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757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4BF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1C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190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3067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0E9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012E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31E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6A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1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1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2012-10-05T14:40:00Z</dcterms:created>
  <dcterms:modified xsi:type="dcterms:W3CDTF">2012-11-09T17:21:00Z</dcterms:modified>
</cp:coreProperties>
</file>