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4D" w:rsidRDefault="00DE524D" w:rsidP="00DE524D">
      <w:pPr>
        <w:widowControl w:val="0"/>
        <w:autoSpaceDE w:val="0"/>
        <w:autoSpaceDN w:val="0"/>
        <w:adjustRightInd w:val="0"/>
        <w:rPr>
          <w:b/>
          <w:bCs/>
        </w:rPr>
      </w:pPr>
    </w:p>
    <w:p w:rsidR="00DE524D" w:rsidRDefault="00DE524D" w:rsidP="00DE52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8.8017 Special Projects</w:t>
      </w:r>
    </w:p>
    <w:p w:rsidR="00DE524D" w:rsidRPr="00DE524D" w:rsidRDefault="00DE524D" w:rsidP="00DE524D"/>
    <w:p w:rsidR="00DE524D" w:rsidRPr="00DE524D" w:rsidRDefault="00DE524D" w:rsidP="00DE524D">
      <w:pPr>
        <w:ind w:left="1440" w:hanging="720"/>
      </w:pPr>
      <w:r>
        <w:t>a)</w:t>
      </w:r>
      <w:r>
        <w:tab/>
      </w:r>
      <w:r w:rsidRPr="00DE524D">
        <w:t xml:space="preserve">When CDB determines a construction project is so large or specialized that a special prequalification and responsibility determination is appropriate, CDB may set appropriate standards of acceptability different from those set out </w:t>
      </w:r>
      <w:r w:rsidR="001971F6">
        <w:t>in this Part.</w:t>
      </w:r>
      <w:r w:rsidRPr="00DE524D">
        <w:t xml:space="preserve">  Other provisions of this Part shall remain applicable.</w:t>
      </w:r>
    </w:p>
    <w:p w:rsidR="00DE524D" w:rsidRPr="00DE524D" w:rsidRDefault="00DE524D" w:rsidP="00DE524D"/>
    <w:p w:rsidR="00DE524D" w:rsidRPr="00DE524D" w:rsidRDefault="00DE524D" w:rsidP="00DE524D">
      <w:pPr>
        <w:ind w:firstLine="720"/>
      </w:pPr>
      <w:r>
        <w:t>b)</w:t>
      </w:r>
      <w:r>
        <w:tab/>
      </w:r>
      <w:r w:rsidRPr="00DE524D">
        <w:t>Special Prequalification Provisions</w:t>
      </w:r>
    </w:p>
    <w:p w:rsidR="00DE524D" w:rsidRPr="00DE524D" w:rsidRDefault="00DE524D" w:rsidP="00DE524D"/>
    <w:p w:rsidR="00DE524D" w:rsidRPr="00DE524D" w:rsidRDefault="00DE524D" w:rsidP="00DE524D">
      <w:pPr>
        <w:ind w:left="2160" w:hanging="720"/>
      </w:pPr>
      <w:r>
        <w:t>1)</w:t>
      </w:r>
      <w:r>
        <w:tab/>
      </w:r>
      <w:r w:rsidRPr="00DE524D">
        <w:t xml:space="preserve">A public notice will be posted on </w:t>
      </w:r>
      <w:r w:rsidR="001971F6">
        <w:t>the</w:t>
      </w:r>
      <w:r w:rsidRPr="00DE524D">
        <w:t xml:space="preserve"> </w:t>
      </w:r>
      <w:r w:rsidR="00EF4701">
        <w:t xml:space="preserve">CDB Procurement </w:t>
      </w:r>
      <w:r w:rsidRPr="00DE524D">
        <w:t xml:space="preserve">Bulletin and may be published in the </w:t>
      </w:r>
      <w:r w:rsidR="00076BDD">
        <w:t>CPO-GS</w:t>
      </w:r>
      <w:bookmarkStart w:id="0" w:name="_GoBack"/>
      <w:bookmarkEnd w:id="0"/>
      <w:r w:rsidRPr="00DE524D">
        <w:t xml:space="preserve"> Procurement Bulletin</w:t>
      </w:r>
      <w:r w:rsidR="001971F6">
        <w:t xml:space="preserve"> and/or</w:t>
      </w:r>
      <w:r w:rsidRPr="00DE524D">
        <w:t xml:space="preserve"> in the official State newspap</w:t>
      </w:r>
      <w:r w:rsidR="001971F6">
        <w:t>er</w:t>
      </w:r>
      <w:r w:rsidRPr="00DE524D">
        <w:t xml:space="preserve"> or </w:t>
      </w:r>
      <w:r w:rsidR="001971F6">
        <w:t xml:space="preserve">may </w:t>
      </w:r>
      <w:r w:rsidRPr="00DE524D">
        <w:t xml:space="preserve">otherwise </w:t>
      </w:r>
      <w:r w:rsidR="001971F6">
        <w:t xml:space="preserve">be </w:t>
      </w:r>
      <w:r w:rsidRPr="00DE524D">
        <w:t>made available in print describing the project and any special prequalification requirements.</w:t>
      </w:r>
    </w:p>
    <w:p w:rsidR="00DE524D" w:rsidRPr="00DE524D" w:rsidRDefault="00DE524D" w:rsidP="00DE524D"/>
    <w:p w:rsidR="00DE524D" w:rsidRPr="00DE524D" w:rsidRDefault="00DE524D" w:rsidP="00DE524D">
      <w:pPr>
        <w:ind w:left="2160" w:hanging="720"/>
      </w:pPr>
      <w:r>
        <w:t>2)</w:t>
      </w:r>
      <w:r>
        <w:tab/>
      </w:r>
      <w:r w:rsidRPr="00DE524D">
        <w:t>The notice will be published at least 30 days before the date the special prequalification application or the statement of qualifications is due.</w:t>
      </w:r>
    </w:p>
    <w:p w:rsidR="00DE524D" w:rsidRPr="00DE524D" w:rsidRDefault="00DE524D" w:rsidP="00DE524D"/>
    <w:p w:rsidR="00DE524D" w:rsidRPr="00DE524D" w:rsidRDefault="00DE524D" w:rsidP="00DE524D">
      <w:pPr>
        <w:ind w:left="2160" w:hanging="720"/>
      </w:pPr>
      <w:r>
        <w:t>3)</w:t>
      </w:r>
      <w:r>
        <w:tab/>
      </w:r>
      <w:r w:rsidRPr="00DE524D">
        <w:t xml:space="preserve">Prequalification standards may be revised to be more closely related to the needs or environment of the special project </w:t>
      </w:r>
      <w:r w:rsidR="001971F6">
        <w:t>(</w:t>
      </w:r>
      <w:r w:rsidRPr="00DE524D">
        <w:t xml:space="preserve">e.g., required </w:t>
      </w:r>
      <w:r w:rsidR="003C4836">
        <w:t>vendor</w:t>
      </w:r>
      <w:r w:rsidRPr="00DE524D">
        <w:t xml:space="preserve"> and or personnel experience may be limited to a particular size of project, or to experience in a particular environment such as correctional facility work</w:t>
      </w:r>
      <w:r w:rsidR="001971F6">
        <w:t>)</w:t>
      </w:r>
      <w:r w:rsidRPr="00DE524D">
        <w:t>.</w:t>
      </w:r>
    </w:p>
    <w:sectPr w:rsidR="00DE524D" w:rsidRPr="00DE52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D1" w:rsidRDefault="00A238D1">
      <w:r>
        <w:separator/>
      </w:r>
    </w:p>
  </w:endnote>
  <w:endnote w:type="continuationSeparator" w:id="0">
    <w:p w:rsidR="00A238D1" w:rsidRDefault="00A2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D1" w:rsidRDefault="00A238D1">
      <w:r>
        <w:separator/>
      </w:r>
    </w:p>
  </w:footnote>
  <w:footnote w:type="continuationSeparator" w:id="0">
    <w:p w:rsidR="00A238D1" w:rsidRDefault="00A2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93720"/>
    <w:multiLevelType w:val="hybridMultilevel"/>
    <w:tmpl w:val="5FA810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83C44"/>
    <w:multiLevelType w:val="hybridMultilevel"/>
    <w:tmpl w:val="074C542C"/>
    <w:lvl w:ilvl="0" w:tplc="04090011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>
      <w:start w:val="1"/>
      <w:numFmt w:val="lowerRoman"/>
      <w:lvlText w:val="%3."/>
      <w:lvlJc w:val="right"/>
      <w:pPr>
        <w:ind w:left="3930" w:hanging="180"/>
      </w:pPr>
    </w:lvl>
    <w:lvl w:ilvl="3" w:tplc="0409000F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D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76BDD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1F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83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8D1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24D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70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73983A-BF20-443A-9D69-BB08D1D2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DE524D"/>
    <w:pPr>
      <w:ind w:left="720"/>
    </w:pPr>
  </w:style>
  <w:style w:type="character" w:styleId="Hyperlink">
    <w:name w:val="Hyperlink"/>
    <w:basedOn w:val="DefaultParagraphFont"/>
    <w:uiPriority w:val="99"/>
    <w:rsid w:val="00DE5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944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6</cp:revision>
  <dcterms:created xsi:type="dcterms:W3CDTF">2013-03-07T20:23:00Z</dcterms:created>
  <dcterms:modified xsi:type="dcterms:W3CDTF">2014-01-31T16:10:00Z</dcterms:modified>
</cp:coreProperties>
</file>