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C" w:rsidRDefault="00553B2C" w:rsidP="00553B2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3B2C" w:rsidRDefault="00553B2C" w:rsidP="00553B2C">
      <w:pPr>
        <w:widowControl w:val="0"/>
        <w:autoSpaceDE w:val="0"/>
        <w:autoSpaceDN w:val="0"/>
        <w:adjustRightInd w:val="0"/>
        <w:jc w:val="center"/>
      </w:pPr>
      <w:r>
        <w:t>SUBPART C:  APPLICATION OF CDB ACTION</w:t>
      </w:r>
    </w:p>
    <w:sectPr w:rsidR="00553B2C" w:rsidSect="00553B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3B2C"/>
    <w:rsid w:val="00550C86"/>
    <w:rsid w:val="00553B2C"/>
    <w:rsid w:val="005C3366"/>
    <w:rsid w:val="00635DEF"/>
    <w:rsid w:val="00E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APPLICATION OF CDB ACTION</vt:lpstr>
    </vt:vector>
  </TitlesOfParts>
  <Company>General Assembly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APPLICATION OF CDB ACTION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