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56" w:rsidRDefault="00CD6756" w:rsidP="00CD67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6756" w:rsidRDefault="00CD6756" w:rsidP="00CD67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950.300  General</w:t>
      </w:r>
      <w:r>
        <w:t xml:space="preserve"> </w:t>
      </w:r>
    </w:p>
    <w:p w:rsidR="00CD6756" w:rsidRDefault="00CD6756" w:rsidP="00CD6756">
      <w:pPr>
        <w:widowControl w:val="0"/>
        <w:autoSpaceDE w:val="0"/>
        <w:autoSpaceDN w:val="0"/>
        <w:adjustRightInd w:val="0"/>
      </w:pPr>
    </w:p>
    <w:p w:rsidR="00CD6756" w:rsidRDefault="00CD6756" w:rsidP="00CD6756">
      <w:pPr>
        <w:widowControl w:val="0"/>
        <w:autoSpaceDE w:val="0"/>
        <w:autoSpaceDN w:val="0"/>
        <w:adjustRightInd w:val="0"/>
      </w:pPr>
      <w:r>
        <w:t xml:space="preserve">Suspension, debarment, nullification of prequalification, modification of prequalification, or issuance of conditional prequalification by CDB is applicable to a contractor's direct contracts with CDB and to subcontracts on CDB projects, unless otherwise determined under Section 950.360. </w:t>
      </w:r>
    </w:p>
    <w:p w:rsidR="00CD6756" w:rsidRDefault="00CD6756" w:rsidP="00CD6756">
      <w:pPr>
        <w:widowControl w:val="0"/>
        <w:autoSpaceDE w:val="0"/>
        <w:autoSpaceDN w:val="0"/>
        <w:adjustRightInd w:val="0"/>
      </w:pPr>
    </w:p>
    <w:p w:rsidR="00CD6756" w:rsidRDefault="00CD6756" w:rsidP="00CD675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20007, effective November 9, 1998) </w:t>
      </w:r>
    </w:p>
    <w:sectPr w:rsidR="00CD6756" w:rsidSect="00CD67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6756"/>
    <w:rsid w:val="003F60B8"/>
    <w:rsid w:val="005C3366"/>
    <w:rsid w:val="005C4DB0"/>
    <w:rsid w:val="00CD6756"/>
    <w:rsid w:val="00F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950</vt:lpstr>
    </vt:vector>
  </TitlesOfParts>
  <Company>State of Illinois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950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