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C2" w:rsidRPr="009313C2" w:rsidRDefault="009313C2" w:rsidP="009313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9313C2">
        <w:t>CHAPTER XII:  CAPITAL DEVELOPMENT BOARD</w:t>
      </w:r>
    </w:p>
    <w:p w:rsidR="009313C2" w:rsidRPr="009313C2" w:rsidRDefault="009313C2" w:rsidP="009313C2">
      <w:pPr>
        <w:widowControl w:val="0"/>
        <w:autoSpaceDE w:val="0"/>
        <w:autoSpaceDN w:val="0"/>
        <w:adjustRightInd w:val="0"/>
        <w:jc w:val="center"/>
      </w:pPr>
    </w:p>
    <w:sectPr w:rsidR="009313C2" w:rsidRPr="009313C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A1" w:rsidRDefault="00E258A1">
      <w:r>
        <w:separator/>
      </w:r>
    </w:p>
  </w:endnote>
  <w:endnote w:type="continuationSeparator" w:id="0">
    <w:p w:rsidR="00E258A1" w:rsidRDefault="00E2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A1" w:rsidRDefault="00E258A1">
      <w:r>
        <w:separator/>
      </w:r>
    </w:p>
  </w:footnote>
  <w:footnote w:type="continuationSeparator" w:id="0">
    <w:p w:rsidR="00E258A1" w:rsidRDefault="00E25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3C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1F6DC7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23EC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351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13C2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26A4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258A1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