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F6" w:rsidRDefault="00B468F6" w:rsidP="003713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376" w:rsidRDefault="00371376" w:rsidP="00371376">
      <w:pPr>
        <w:widowControl w:val="0"/>
        <w:autoSpaceDE w:val="0"/>
        <w:autoSpaceDN w:val="0"/>
        <w:adjustRightInd w:val="0"/>
      </w:pPr>
      <w:r>
        <w:t xml:space="preserve">AUTHORITY:  Implementing Sections 405-280, 405-285, and 405-215 of the Department of Central Management Services Law [20 ILCS 405/405-280, 405-285, and 405-215] and Sections 1 and 2 of the State Vehicle Identification Act [30 ILCS 610/1 and 2] and authorized by Section 405-280 of the Department of Central Management Services Law [20 ILCS 405/405-280]. </w:t>
      </w:r>
    </w:p>
    <w:sectPr w:rsidR="00371376" w:rsidSect="003713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376"/>
    <w:rsid w:val="00371376"/>
    <w:rsid w:val="005C3366"/>
    <w:rsid w:val="00662E59"/>
    <w:rsid w:val="00B468F6"/>
    <w:rsid w:val="00E92C1C"/>
    <w:rsid w:val="00F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405-280, 405-285, and 405-215 of the Department of Central Management Services Law [20 ILCS 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405-280, 405-285, and 405-215 of the Department of Central Management Services Law [20 ILCS 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